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59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0DAF49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lang w:eastAsia="zh-CN"/>
        </w:rPr>
        <w:t>胚胎冻存续费（线上操作）通讯接口</w:t>
      </w:r>
      <w:r>
        <w:rPr>
          <w:rFonts w:hint="eastAsia" w:ascii="微软雅黑" w:hAnsi="微软雅黑" w:eastAsia="微软雅黑" w:cs="微软雅黑"/>
          <w:b/>
          <w:bCs/>
          <w:i w:val="0"/>
          <w:iCs w:val="0"/>
          <w:caps w:val="0"/>
          <w:color w:val="000000"/>
          <w:spacing w:val="0"/>
          <w:sz w:val="36"/>
          <w:szCs w:val="36"/>
        </w:rPr>
        <w:t>询价采购公告</w:t>
      </w:r>
    </w:p>
    <w:p w14:paraId="23F1BA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4A166702">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近期将询价采购胚胎冻存续费（线上操作）通讯接口</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66F3EB95">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5</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04</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30</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w:t>
      </w:r>
      <w:r>
        <w:rPr>
          <w:rFonts w:hint="eastAsia" w:ascii="微软雅黑" w:hAnsi="微软雅黑" w:eastAsia="微软雅黑" w:cs="微软雅黑"/>
          <w:i w:val="0"/>
          <w:iCs w:val="0"/>
          <w:caps w:val="0"/>
          <w:color w:val="000000"/>
          <w:spacing w:val="0"/>
          <w:sz w:val="21"/>
          <w:szCs w:val="21"/>
          <w:lang w:eastAsia="zh-CN"/>
        </w:rPr>
        <w:t>询价</w:t>
      </w:r>
      <w:r>
        <w:rPr>
          <w:rFonts w:hint="eastAsia" w:ascii="微软雅黑" w:hAnsi="微软雅黑" w:eastAsia="微软雅黑" w:cs="微软雅黑"/>
          <w:i w:val="0"/>
          <w:iCs w:val="0"/>
          <w:caps w:val="0"/>
          <w:color w:val="000000"/>
          <w:spacing w:val="0"/>
          <w:sz w:val="21"/>
          <w:szCs w:val="21"/>
        </w:rPr>
        <w:t>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9803FA4">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eastAsia="zh-CN"/>
        </w:rPr>
        <w:t>陈</w:t>
      </w:r>
      <w:r>
        <w:rPr>
          <w:rFonts w:hint="eastAsia" w:ascii="微软雅黑" w:hAnsi="微软雅黑" w:eastAsia="微软雅黑" w:cs="微软雅黑"/>
          <w:i w:val="0"/>
          <w:iCs w:val="0"/>
          <w:caps w:val="0"/>
          <w:color w:val="000000"/>
          <w:spacing w:val="0"/>
          <w:sz w:val="21"/>
          <w:szCs w:val="21"/>
          <w:lang w:val="en-US" w:eastAsia="zh-CN"/>
        </w:rPr>
        <w:t xml:space="preserve">工     </w:t>
      </w:r>
      <w:r>
        <w:rPr>
          <w:rFonts w:hint="eastAsia" w:ascii="微软雅黑" w:hAnsi="微软雅黑" w:eastAsia="微软雅黑" w:cs="微软雅黑"/>
          <w:i w:val="0"/>
          <w:iCs w:val="0"/>
          <w:caps w:val="0"/>
          <w:color w:val="000000"/>
          <w:spacing w:val="0"/>
          <w:sz w:val="21"/>
          <w:szCs w:val="21"/>
        </w:rPr>
        <w:t>联系电话：0592-2662084</w:t>
      </w:r>
    </w:p>
    <w:p w14:paraId="5F8DEDD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412039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8"/>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0F46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A00196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56FE1F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987DA4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F224C7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0094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08D4C64">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0D02912">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胚胎冻存续费（线上操作）通讯接口</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BEBD02A">
            <w:pPr>
              <w:numPr>
                <w:ilvl w:val="0"/>
                <w:numId w:val="0"/>
              </w:numPr>
              <w:spacing w:line="240" w:lineRule="auto"/>
              <w:ind w:left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生殖医学科冻胚续费小程序模块提供冻胚续费查询支付功能，配合生殖医学病历系统完成冻胚续费功能的接口对接。具体功能如下：</w:t>
            </w:r>
          </w:p>
          <w:p w14:paraId="57160591">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模块界面提供通过夫妻双方身份证号/就诊卡号、姓名查询冻胚保存费到期的界面，患者输入查询条件后，可调用生殖医学病历系统核对患者的冻胚保存信息，将冻胚保存开始时间、冻胚保存到期时间、冻胚保存剩余时间等信息返回到患者界面。</w:t>
            </w:r>
          </w:p>
          <w:p w14:paraId="519F2C0D">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2、患者获取到冻胚保存期限的情况后，可展示给患者相应的不同续费时长及费用的选项，同时附上收费标准，患者可选中意向的续费时长，缴交对应的费用。在缴费前推送知情告知书给患者，患者必须阅读知情告知书后才能开始缴费。</w:t>
            </w:r>
          </w:p>
          <w:p w14:paraId="054EB4AA">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3、患者缴费成功后，会将成功支付的订单状态及订单详情（包含支付人、支付时间、支付费用、续费时长等信息）异步推送给生殖医学病历系统，生殖医学病历系统也可以通过本模块提供的订单查询接口获取订单状态。</w:t>
            </w:r>
          </w:p>
          <w:p w14:paraId="1C1E98C9">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4、对接微信公众号统一用户体系，当患者缴费成功后，可通过微信公众号将缴费成功的通知及缴费明细推送给患者，若患者关联的信息未在本院公众号注册，会跳转微信公众号注册界面，引导患者进行注册，并推送消息通知的授权。</w:t>
            </w:r>
          </w:p>
          <w:p w14:paraId="5DFAC1BC">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5、本模块提供该业务的支付明细账查询、支付报表统计等报表用于财务和业务科室工作人员对账。</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950D0BD">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1套</w:t>
            </w:r>
          </w:p>
        </w:tc>
      </w:tr>
    </w:tbl>
    <w:p w14:paraId="7718F3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三、 项目要求：</w:t>
      </w:r>
    </w:p>
    <w:p w14:paraId="0335D386">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按上述业务描述的要求进行胚胎冻存续费（线上操作）通讯接口的项目建设。</w:t>
      </w:r>
    </w:p>
    <w:p w14:paraId="3DEFC792">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采购方式：询价采购</w:t>
      </w:r>
    </w:p>
    <w:p w14:paraId="3A3347B4">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招标控制价：人民币30000元</w:t>
      </w:r>
    </w:p>
    <w:p w14:paraId="44FE03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p>
    <w:p w14:paraId="6EA648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7309A1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8"/>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7844"/>
      </w:tblGrid>
      <w:tr w14:paraId="0FE1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34969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7844" w:type="dxa"/>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74435F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129C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F81DE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4D284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0517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4516F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9017C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4121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1630D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88A91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1D4C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949EA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62059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35EF036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55D99DD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09E9E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E4CAF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bookmarkStart w:id="0" w:name="_GoBack"/>
      <w:bookmarkEnd w:id="0"/>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5年04月24日</w:t>
      </w:r>
    </w:p>
    <w:p w14:paraId="42618676">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39B871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BA6F6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288CB6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28FEFB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3A722A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2BF503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eastAsia="zh-CN"/>
        </w:rPr>
        <w:t>胚胎冻存续费（线上操作）通讯接口</w:t>
      </w:r>
    </w:p>
    <w:p w14:paraId="130CC8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6CB23C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587D66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DC14D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3F3037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5582EA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3E5D69A">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33B9DB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70DF33A0">
      <w:pPr>
        <w:rPr>
          <w:rFonts w:hint="default" w:ascii="宋体" w:hAnsi="宋体"/>
          <w:color w:val="000000"/>
          <w:szCs w:val="21"/>
          <w:u w:val="single"/>
          <w:lang w:val="en-US" w:eastAsia="zh-CN"/>
        </w:rPr>
      </w:pPr>
    </w:p>
    <w:p w14:paraId="2B1282CE">
      <w:pPr>
        <w:jc w:val="center"/>
        <w:rPr>
          <w:rFonts w:hint="eastAsia"/>
          <w:sz w:val="36"/>
          <w:szCs w:val="36"/>
          <w:lang w:val="en-US" w:eastAsia="zh-CN"/>
        </w:rPr>
      </w:pPr>
      <w:r>
        <w:rPr>
          <w:rFonts w:hint="eastAsia"/>
          <w:sz w:val="36"/>
          <w:szCs w:val="36"/>
          <w:u w:val="single"/>
          <w:lang w:val="en-US" w:eastAsia="zh-CN"/>
        </w:rPr>
        <w:t>胚胎冻存续费（线上操作）通讯接口</w:t>
      </w:r>
      <w:r>
        <w:rPr>
          <w:rFonts w:hint="eastAsia"/>
          <w:sz w:val="36"/>
          <w:szCs w:val="36"/>
          <w:lang w:val="en-US" w:eastAsia="zh-CN"/>
        </w:rPr>
        <w:t>报价单</w:t>
      </w:r>
    </w:p>
    <w:p w14:paraId="611BE083">
      <w:pPr>
        <w:jc w:val="center"/>
        <w:rPr>
          <w:rFonts w:hint="eastAsia"/>
          <w:sz w:val="36"/>
          <w:szCs w:val="36"/>
          <w:lang w:val="en-US" w:eastAsia="zh-CN"/>
        </w:rPr>
      </w:pPr>
    </w:p>
    <w:tbl>
      <w:tblPr>
        <w:tblStyle w:val="9"/>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1FF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top"/>
          </w:tcPr>
          <w:p w14:paraId="1DAF3E6D">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vAlign w:val="top"/>
          </w:tcPr>
          <w:p w14:paraId="43B95FC4">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vAlign w:val="top"/>
          </w:tcPr>
          <w:p w14:paraId="6C4EABF4">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vAlign w:val="top"/>
          </w:tcPr>
          <w:p w14:paraId="4BA029CB">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vAlign w:val="top"/>
          </w:tcPr>
          <w:p w14:paraId="1535D27A">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vAlign w:val="top"/>
          </w:tcPr>
          <w:p w14:paraId="59552FB4">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09A9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1" w:hRule="atLeast"/>
        </w:trPr>
        <w:tc>
          <w:tcPr>
            <w:tcW w:w="699" w:type="dxa"/>
            <w:vAlign w:val="top"/>
          </w:tcPr>
          <w:p w14:paraId="1EDABDEF">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vAlign w:val="top"/>
          </w:tcPr>
          <w:p w14:paraId="7C3C762E">
            <w:pPr>
              <w:spacing w:line="360" w:lineRule="auto"/>
              <w:jc w:val="left"/>
              <w:rPr>
                <w:rFonts w:hint="default"/>
                <w:sz w:val="22"/>
                <w:szCs w:val="22"/>
                <w:vertAlign w:val="baseline"/>
                <w:lang w:val="en-US" w:eastAsia="zh-CN"/>
              </w:rPr>
            </w:pPr>
            <w:r>
              <w:rPr>
                <w:rFonts w:hint="eastAsia"/>
                <w:sz w:val="22"/>
                <w:szCs w:val="22"/>
                <w:vertAlign w:val="baseline"/>
                <w:lang w:val="en-US" w:eastAsia="zh-CN"/>
              </w:rPr>
              <w:t>胚胎冻存续费（线上操作）通讯接口</w:t>
            </w:r>
          </w:p>
        </w:tc>
        <w:tc>
          <w:tcPr>
            <w:tcW w:w="4650" w:type="dxa"/>
            <w:vAlign w:val="top"/>
          </w:tcPr>
          <w:p w14:paraId="4E254077">
            <w:pPr>
              <w:rPr>
                <w:rFonts w:hint="eastAsia"/>
                <w:lang w:eastAsia="zh-CN"/>
              </w:rPr>
            </w:pPr>
            <w:r>
              <w:rPr>
                <w:rFonts w:hint="eastAsia"/>
                <w:lang w:eastAsia="zh-CN"/>
              </w:rPr>
              <w:t>生殖医学科冻胚续费小程序模块提供冻胚续费查询支付功能，配合生殖医学病历系统完成冻胚续费功能的接口对接。具体功能如下：</w:t>
            </w:r>
          </w:p>
          <w:p w14:paraId="0F07168A">
            <w:pPr>
              <w:pStyle w:val="7"/>
              <w:numPr>
                <w:ilvl w:val="0"/>
                <w:numId w:val="3"/>
              </w:numPr>
              <w:ind w:left="0" w:leftChars="0" w:firstLine="0" w:firstLineChars="0"/>
              <w:rPr>
                <w:rFonts w:hint="eastAsia"/>
                <w:lang w:val="en-US" w:eastAsia="zh-CN"/>
              </w:rPr>
            </w:pPr>
            <w:r>
              <w:rPr>
                <w:rFonts w:hint="eastAsia"/>
                <w:lang w:val="en-US" w:eastAsia="zh-CN"/>
              </w:rPr>
              <w:t>模块界面提供通过夫妻双方身份证号/就诊卡号、姓名查询冻胚保存费到期的界面，患者输入查询条件后，可调用生殖医学病历系统核对患者的冻胚保存信息，将冻胚保存开始时间、冻胚保存到期时间、冻胚保存剩余时间等信息返回到患者界面。</w:t>
            </w:r>
          </w:p>
          <w:p w14:paraId="00CE1E90">
            <w:pPr>
              <w:pStyle w:val="7"/>
              <w:numPr>
                <w:ilvl w:val="0"/>
                <w:numId w:val="3"/>
              </w:numPr>
              <w:ind w:left="0" w:leftChars="0" w:firstLine="0" w:firstLineChars="0"/>
              <w:rPr>
                <w:rFonts w:hint="eastAsia"/>
                <w:lang w:val="en-US" w:eastAsia="zh-CN"/>
              </w:rPr>
            </w:pPr>
            <w:r>
              <w:rPr>
                <w:rFonts w:hint="eastAsia"/>
                <w:lang w:val="en-US" w:eastAsia="zh-CN"/>
              </w:rPr>
              <w:t>患者获取到冻胚保存期限的情况后，可展示给患者相应的不同续费时长及费用的选项，同时附上收费标准，患者可选中意向的续费时长，缴交对应的费用。在缴费前推送知情告知书给患者，患者必须阅读知情告知书后才能开始缴费。</w:t>
            </w:r>
          </w:p>
          <w:p w14:paraId="38CE6C72">
            <w:pPr>
              <w:pStyle w:val="7"/>
              <w:numPr>
                <w:ilvl w:val="0"/>
                <w:numId w:val="3"/>
              </w:numPr>
              <w:ind w:left="0" w:leftChars="0" w:firstLine="0" w:firstLineChars="0"/>
              <w:rPr>
                <w:rFonts w:hint="eastAsia"/>
                <w:lang w:val="en-US" w:eastAsia="zh-CN"/>
              </w:rPr>
            </w:pPr>
            <w:r>
              <w:rPr>
                <w:rFonts w:hint="eastAsia"/>
                <w:lang w:val="en-US" w:eastAsia="zh-CN"/>
              </w:rPr>
              <w:t>患者缴费成功后，会将成功支付的订单状态及订单详情（包含支付人、支付时间、支付费用、续费时长等信息）异步推送给生殖医学病历系统，生殖医学病历系统也可以通过本模块提供的订单查询接口获取订单状态。</w:t>
            </w:r>
          </w:p>
          <w:p w14:paraId="63902332">
            <w:pPr>
              <w:pStyle w:val="7"/>
              <w:numPr>
                <w:ilvl w:val="0"/>
                <w:numId w:val="3"/>
              </w:numPr>
              <w:ind w:left="0" w:leftChars="0" w:firstLine="0" w:firstLineChars="0"/>
              <w:rPr>
                <w:rFonts w:hint="eastAsia"/>
                <w:lang w:val="en-US" w:eastAsia="zh-CN"/>
              </w:rPr>
            </w:pPr>
            <w:r>
              <w:rPr>
                <w:rFonts w:hint="eastAsia"/>
                <w:lang w:val="en-US" w:eastAsia="zh-CN"/>
              </w:rPr>
              <w:t>对接微信公众号统一用户体系，当患者缴费成功后，可通过微信公众号将缴费成功的通知及缴费明细推送给患者，若患者关联的信息未在本院公众号注册，会跳转微信公众号注册界面，引导患者进行注册，并推送消息通知的授权。</w:t>
            </w:r>
          </w:p>
          <w:p w14:paraId="59861B2B">
            <w:pPr>
              <w:pStyle w:val="7"/>
              <w:numPr>
                <w:ilvl w:val="0"/>
                <w:numId w:val="3"/>
              </w:numPr>
              <w:ind w:left="0" w:leftChars="0" w:firstLine="0" w:firstLineChars="0"/>
              <w:rPr>
                <w:rFonts w:hint="eastAsia"/>
                <w:lang w:val="en-US" w:eastAsia="zh-CN"/>
              </w:rPr>
            </w:pPr>
            <w:r>
              <w:rPr>
                <w:rFonts w:hint="eastAsia"/>
                <w:lang w:val="en-US" w:eastAsia="zh-CN"/>
              </w:rPr>
              <w:t>本模块提供该业务的支付明细账查询、支付报表统计等报表用于财务和业务科室工作人员对账。</w:t>
            </w:r>
          </w:p>
          <w:p w14:paraId="2D9595E0">
            <w:pPr>
              <w:numPr>
                <w:ilvl w:val="0"/>
                <w:numId w:val="0"/>
              </w:numPr>
              <w:spacing w:line="240" w:lineRule="auto"/>
              <w:ind w:leftChars="0"/>
              <w:jc w:val="both"/>
              <w:rPr>
                <w:rFonts w:hint="default" w:ascii="Arial" w:hAnsi="Arial" w:eastAsia="宋体" w:cs="Arial"/>
                <w:color w:val="000000"/>
                <w:sz w:val="18"/>
                <w:szCs w:val="18"/>
                <w:lang w:val="en-US" w:eastAsia="zh-CN"/>
              </w:rPr>
            </w:pPr>
          </w:p>
        </w:tc>
        <w:tc>
          <w:tcPr>
            <w:tcW w:w="707" w:type="dxa"/>
            <w:vAlign w:val="top"/>
          </w:tcPr>
          <w:p w14:paraId="02EF3658">
            <w:pPr>
              <w:jc w:val="center"/>
              <w:rPr>
                <w:rFonts w:hint="default"/>
                <w:sz w:val="22"/>
                <w:szCs w:val="22"/>
                <w:vertAlign w:val="baseline"/>
                <w:lang w:val="en-US" w:eastAsia="zh-CN"/>
              </w:rPr>
            </w:pPr>
            <w:r>
              <w:rPr>
                <w:rFonts w:hint="eastAsia"/>
                <w:sz w:val="22"/>
                <w:szCs w:val="22"/>
                <w:vertAlign w:val="baseline"/>
                <w:lang w:val="en-US" w:eastAsia="zh-CN"/>
              </w:rPr>
              <w:t>1套</w:t>
            </w:r>
          </w:p>
        </w:tc>
        <w:tc>
          <w:tcPr>
            <w:tcW w:w="1155" w:type="dxa"/>
            <w:vAlign w:val="top"/>
          </w:tcPr>
          <w:p w14:paraId="1B4BA49B">
            <w:pPr>
              <w:jc w:val="left"/>
              <w:rPr>
                <w:rFonts w:hint="default"/>
                <w:sz w:val="22"/>
                <w:szCs w:val="22"/>
                <w:vertAlign w:val="baseline"/>
                <w:lang w:val="en-US" w:eastAsia="zh-CN"/>
              </w:rPr>
            </w:pPr>
          </w:p>
        </w:tc>
        <w:tc>
          <w:tcPr>
            <w:tcW w:w="1351" w:type="dxa"/>
            <w:vAlign w:val="top"/>
          </w:tcPr>
          <w:p w14:paraId="1C033D2F">
            <w:pPr>
              <w:spacing w:line="360" w:lineRule="auto"/>
              <w:jc w:val="both"/>
              <w:rPr>
                <w:rFonts w:hint="eastAsia"/>
                <w:sz w:val="20"/>
                <w:szCs w:val="20"/>
                <w:vertAlign w:val="baseline"/>
                <w:lang w:val="en-US" w:eastAsia="zh-CN"/>
              </w:rPr>
            </w:pPr>
          </w:p>
          <w:p w14:paraId="2AEB1BF7">
            <w:pPr>
              <w:spacing w:line="360" w:lineRule="auto"/>
              <w:jc w:val="both"/>
              <w:rPr>
                <w:rFonts w:hint="default"/>
                <w:sz w:val="22"/>
                <w:szCs w:val="22"/>
                <w:vertAlign w:val="baseline"/>
                <w:lang w:val="en-US" w:eastAsia="zh-CN"/>
              </w:rPr>
            </w:pPr>
          </w:p>
        </w:tc>
      </w:tr>
      <w:tr w14:paraId="1425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vAlign w:val="center"/>
          </w:tcPr>
          <w:p w14:paraId="0EC9AFA5">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vAlign w:val="center"/>
          </w:tcPr>
          <w:p w14:paraId="6C47C28B">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70B5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740" w:type="dxa"/>
            <w:gridSpan w:val="6"/>
            <w:vAlign w:val="top"/>
          </w:tcPr>
          <w:p w14:paraId="25B83283">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3F789854">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7688CC63">
      <w:pPr>
        <w:jc w:val="left"/>
        <w:rPr>
          <w:rFonts w:hint="eastAsia"/>
          <w:sz w:val="36"/>
          <w:szCs w:val="36"/>
          <w:lang w:val="en-US" w:eastAsia="zh-CN"/>
        </w:rPr>
      </w:pPr>
    </w:p>
    <w:p w14:paraId="0A3B93F1">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26A0B9E">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794E0C2E">
      <w:pPr>
        <w:rPr>
          <w:rFonts w:hint="eastAsia"/>
          <w:sz w:val="28"/>
          <w:szCs w:val="28"/>
          <w:u w:val="single"/>
          <w:lang w:val="en-US" w:eastAsia="zh-CN"/>
        </w:rPr>
      </w:pPr>
      <w:r>
        <w:rPr>
          <w:rFonts w:hint="eastAsia"/>
          <w:sz w:val="28"/>
          <w:szCs w:val="28"/>
          <w:u w:val="single"/>
          <w:lang w:val="en-US" w:eastAsia="zh-CN"/>
        </w:rPr>
        <w:br w:type="page"/>
      </w:r>
    </w:p>
    <w:p w14:paraId="5AAA7914">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17D30233">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66E3EA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6DBD28DB">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2284B53E">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403647B0">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5029616F">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64B6B590">
      <w:pPr>
        <w:numPr>
          <w:ilvl w:val="0"/>
          <w:numId w:val="4"/>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745773E6">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25EC640C">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0FE8E92D">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5470479F">
      <w:pPr>
        <w:snapToGrid w:val="0"/>
        <w:spacing w:line="288" w:lineRule="auto"/>
        <w:ind w:firstLine="565" w:firstLineChars="202"/>
        <w:rPr>
          <w:rFonts w:hint="eastAsia" w:ascii="仿宋_GB2312" w:hAnsi="仿宋_GB2312" w:eastAsia="仿宋_GB2312" w:cs="仿宋_GB2312"/>
          <w:sz w:val="28"/>
          <w:szCs w:val="28"/>
        </w:rPr>
      </w:pPr>
    </w:p>
    <w:p w14:paraId="6A81F45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583E5D75">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24C0838F">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24466EFF">
      <w:pPr>
        <w:snapToGrid w:val="0"/>
        <w:spacing w:line="288" w:lineRule="auto"/>
        <w:ind w:firstLine="565" w:firstLineChars="202"/>
        <w:rPr>
          <w:rFonts w:hint="eastAsia" w:ascii="仿宋_GB2312" w:hAnsi="仿宋_GB2312" w:eastAsia="仿宋_GB2312" w:cs="仿宋_GB2312"/>
          <w:sz w:val="28"/>
          <w:szCs w:val="28"/>
        </w:rPr>
      </w:pPr>
    </w:p>
    <w:p w14:paraId="367A316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4C9DFA09">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6C9FE11B">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61851FEB">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E0513F3A"/>
    <w:multiLevelType w:val="singleLevel"/>
    <w:tmpl w:val="E0513F3A"/>
    <w:lvl w:ilvl="0" w:tentative="0">
      <w:start w:val="1"/>
      <w:numFmt w:val="decimal"/>
      <w:suff w:val="nothing"/>
      <w:lvlText w:val="%1、"/>
      <w:lvlJc w:val="left"/>
    </w:lvl>
  </w:abstractNum>
  <w:abstractNum w:abstractNumId="3">
    <w:nsid w:val="5DE85FA5"/>
    <w:multiLevelType w:val="singleLevel"/>
    <w:tmpl w:val="5DE85FA5"/>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2283E46"/>
    <w:rsid w:val="045D15E7"/>
    <w:rsid w:val="04E52B6B"/>
    <w:rsid w:val="072C70D9"/>
    <w:rsid w:val="07F615C4"/>
    <w:rsid w:val="09AA76C4"/>
    <w:rsid w:val="0A6A629A"/>
    <w:rsid w:val="0B10358F"/>
    <w:rsid w:val="0C0575B4"/>
    <w:rsid w:val="0C6D5CD5"/>
    <w:rsid w:val="0CF87B8D"/>
    <w:rsid w:val="0E1962DF"/>
    <w:rsid w:val="0F3C3218"/>
    <w:rsid w:val="10C10B94"/>
    <w:rsid w:val="119965E5"/>
    <w:rsid w:val="133720EF"/>
    <w:rsid w:val="138F0A28"/>
    <w:rsid w:val="13DB54EC"/>
    <w:rsid w:val="192F4E41"/>
    <w:rsid w:val="19B36B9A"/>
    <w:rsid w:val="19D57177"/>
    <w:rsid w:val="1C505D3B"/>
    <w:rsid w:val="1D9D0BDA"/>
    <w:rsid w:val="1F8C171B"/>
    <w:rsid w:val="1FB57B5F"/>
    <w:rsid w:val="1FD20711"/>
    <w:rsid w:val="20794A33"/>
    <w:rsid w:val="252C4736"/>
    <w:rsid w:val="26F34456"/>
    <w:rsid w:val="2ADA080A"/>
    <w:rsid w:val="2E903C71"/>
    <w:rsid w:val="32664E75"/>
    <w:rsid w:val="384F4255"/>
    <w:rsid w:val="38790383"/>
    <w:rsid w:val="397D1296"/>
    <w:rsid w:val="3B75129C"/>
    <w:rsid w:val="3C3C6475"/>
    <w:rsid w:val="3C5A3EF9"/>
    <w:rsid w:val="3CE40F86"/>
    <w:rsid w:val="3EA763FA"/>
    <w:rsid w:val="404D2BD1"/>
    <w:rsid w:val="424B76FC"/>
    <w:rsid w:val="44E0677A"/>
    <w:rsid w:val="457A4EE2"/>
    <w:rsid w:val="478101A3"/>
    <w:rsid w:val="483A5A39"/>
    <w:rsid w:val="4F214574"/>
    <w:rsid w:val="51CF1BE5"/>
    <w:rsid w:val="53A31176"/>
    <w:rsid w:val="556F060F"/>
    <w:rsid w:val="558D745B"/>
    <w:rsid w:val="59524C35"/>
    <w:rsid w:val="5ACB1419"/>
    <w:rsid w:val="5B525C87"/>
    <w:rsid w:val="5C653DB3"/>
    <w:rsid w:val="5DBA15CB"/>
    <w:rsid w:val="5E225E6A"/>
    <w:rsid w:val="5E4D190F"/>
    <w:rsid w:val="5FBF2C92"/>
    <w:rsid w:val="62774D1E"/>
    <w:rsid w:val="63AB4186"/>
    <w:rsid w:val="66D820B1"/>
    <w:rsid w:val="67386679"/>
    <w:rsid w:val="68273E3B"/>
    <w:rsid w:val="69983B9D"/>
    <w:rsid w:val="69B55917"/>
    <w:rsid w:val="6B814EB1"/>
    <w:rsid w:val="6C7469D7"/>
    <w:rsid w:val="6E9C590A"/>
    <w:rsid w:val="6F4421BF"/>
    <w:rsid w:val="70593D8A"/>
    <w:rsid w:val="70FE5EA4"/>
    <w:rsid w:val="73701A81"/>
    <w:rsid w:val="7488418C"/>
    <w:rsid w:val="7495322A"/>
    <w:rsid w:val="74A41217"/>
    <w:rsid w:val="77703A06"/>
    <w:rsid w:val="7A923E9A"/>
    <w:rsid w:val="7BCC6F38"/>
    <w:rsid w:val="7D5B424D"/>
    <w:rsid w:val="7DD054D0"/>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2324</Words>
  <Characters>2416</Characters>
  <Lines>0</Lines>
  <Paragraphs>0</Paragraphs>
  <TotalTime>1</TotalTime>
  <ScaleCrop>false</ScaleCrop>
  <LinksUpToDate>false</LinksUpToDate>
  <CharactersWithSpaces>2759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李天赐</cp:lastModifiedBy>
  <dcterms:modified xsi:type="dcterms:W3CDTF">2025-04-24T01:57:29Z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5FBA40B14B544E869F9DF68FE8B0E3F4_13</vt:lpwstr>
  </property>
  <property fmtid="{D5CDD505-2E9C-101B-9397-08002B2CF9AE}" pid="4" name="KSOTemplateDocerSaveRecord">
    <vt:lpwstr>eyJoZGlkIjoiYTA1Y2UxZjQxMTE2NWI4ODc3YjRhMWU5NTMwNjNiNGIiLCJ1c2VySWQiOiI0OTk2NDMzNTEifQ==</vt:lpwstr>
  </property>
</Properties>
</file>