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B0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331AAF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lang w:val="en-US" w:eastAsia="zh-CN"/>
        </w:rPr>
        <w:t>移动盘点管理系统</w:t>
      </w:r>
      <w:r>
        <w:rPr>
          <w:rFonts w:hint="eastAsia" w:ascii="微软雅黑" w:hAnsi="微软雅黑" w:eastAsia="微软雅黑" w:cs="微软雅黑"/>
          <w:b/>
          <w:bCs/>
          <w:i w:val="0"/>
          <w:iCs w:val="0"/>
          <w:caps w:val="0"/>
          <w:color w:val="000000"/>
          <w:spacing w:val="0"/>
          <w:sz w:val="36"/>
          <w:szCs w:val="36"/>
        </w:rPr>
        <w:t>项目</w:t>
      </w:r>
      <w:r>
        <w:rPr>
          <w:rFonts w:hint="eastAsia" w:ascii="微软雅黑" w:hAnsi="微软雅黑" w:eastAsia="微软雅黑" w:cs="微软雅黑"/>
          <w:b/>
          <w:bCs/>
          <w:color w:val="000000"/>
          <w:sz w:val="36"/>
          <w:szCs w:val="36"/>
        </w:rPr>
        <w:t>市场调研</w:t>
      </w:r>
      <w:r>
        <w:rPr>
          <w:rFonts w:hint="eastAsia" w:ascii="微软雅黑" w:hAnsi="微软雅黑" w:eastAsia="微软雅黑" w:cs="微软雅黑"/>
          <w:b/>
          <w:bCs/>
          <w:i w:val="0"/>
          <w:iCs w:val="0"/>
          <w:caps w:val="0"/>
          <w:color w:val="000000"/>
          <w:spacing w:val="0"/>
          <w:sz w:val="36"/>
          <w:szCs w:val="36"/>
        </w:rPr>
        <w:t>公告</w:t>
      </w:r>
    </w:p>
    <w:p w14:paraId="0642BA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61E9B728">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为加强我院资产盘点管理工作，我院拟对移动盘点管理系统项目进行市场调研，诚邀具备相关资质的企业积极参与报名。</w:t>
      </w:r>
    </w:p>
    <w:p w14:paraId="060FB0C0">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w:t>
      </w:r>
      <w:r>
        <w:rPr>
          <w:rFonts w:hint="eastAsia" w:ascii="微软雅黑" w:hAnsi="微软雅黑" w:eastAsia="微软雅黑" w:cs="微软雅黑"/>
          <w:i w:val="0"/>
          <w:iCs w:val="0"/>
          <w:caps w:val="0"/>
          <w:color w:val="000000"/>
          <w:spacing w:val="0"/>
          <w:sz w:val="21"/>
          <w:szCs w:val="21"/>
          <w:lang w:val="en-US" w:eastAsia="zh-CN"/>
        </w:rPr>
        <w:t>和产品</w:t>
      </w:r>
      <w:r>
        <w:rPr>
          <w:rFonts w:hint="eastAsia" w:ascii="微软雅黑" w:hAnsi="微软雅黑" w:eastAsia="微软雅黑" w:cs="微软雅黑"/>
          <w:i w:val="0"/>
          <w:iCs w:val="0"/>
          <w:caps w:val="0"/>
          <w:color w:val="000000"/>
          <w:spacing w:val="0"/>
          <w:sz w:val="21"/>
          <w:szCs w:val="21"/>
        </w:rPr>
        <w:t>的供应商</w:t>
      </w:r>
      <w:r>
        <w:rPr>
          <w:rFonts w:hint="eastAsia" w:ascii="微软雅黑" w:hAnsi="微软雅黑" w:eastAsia="微软雅黑" w:cs="微软雅黑"/>
          <w:i w:val="0"/>
          <w:iCs w:val="0"/>
          <w:caps w:val="0"/>
          <w:color w:val="000000"/>
          <w:spacing w:val="0"/>
          <w:sz w:val="21"/>
          <w:szCs w:val="21"/>
          <w:highlight w:val="none"/>
        </w:rPr>
        <w:t>于202</w:t>
      </w:r>
      <w:r>
        <w:rPr>
          <w:rFonts w:hint="eastAsia" w:ascii="微软雅黑" w:hAnsi="微软雅黑" w:eastAsia="微软雅黑" w:cs="微软雅黑"/>
          <w:i w:val="0"/>
          <w:iCs w:val="0"/>
          <w:caps w:val="0"/>
          <w:color w:val="000000"/>
          <w:spacing w:val="0"/>
          <w:sz w:val="21"/>
          <w:szCs w:val="21"/>
          <w:highlight w:val="none"/>
          <w:lang w:val="en-US" w:eastAsia="zh-CN"/>
        </w:rPr>
        <w:t>5</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03</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28</w:t>
      </w:r>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w:t>
      </w:r>
      <w:r>
        <w:rPr>
          <w:rFonts w:hint="eastAsia" w:ascii="微软雅黑" w:hAnsi="微软雅黑" w:eastAsia="微软雅黑" w:cs="微软雅黑"/>
          <w:i w:val="0"/>
          <w:iCs w:val="0"/>
          <w:caps w:val="0"/>
          <w:color w:val="000000"/>
          <w:spacing w:val="0"/>
          <w:sz w:val="21"/>
          <w:szCs w:val="21"/>
          <w:lang w:val="en-US" w:eastAsia="zh-CN"/>
        </w:rPr>
        <w:t>电子版以及</w:t>
      </w:r>
      <w:r>
        <w:rPr>
          <w:rFonts w:hint="eastAsia" w:ascii="微软雅黑" w:hAnsi="微软雅黑" w:eastAsia="微软雅黑" w:cs="微软雅黑"/>
          <w:i w:val="0"/>
          <w:iCs w:val="0"/>
          <w:caps w:val="0"/>
          <w:color w:val="000000"/>
          <w:spacing w:val="0"/>
          <w:sz w:val="21"/>
          <w:szCs w:val="21"/>
        </w:rPr>
        <w:t>加盖公章扫描电子版，打包压缩并命名为“公司名+调研系统名称+联系方式”发至邮箱：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1684801A">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联系人：</w:t>
      </w:r>
      <w:r>
        <w:rPr>
          <w:rFonts w:hint="eastAsia" w:ascii="微软雅黑" w:hAnsi="微软雅黑" w:eastAsia="微软雅黑" w:cs="微软雅黑"/>
          <w:i w:val="0"/>
          <w:iCs w:val="0"/>
          <w:caps w:val="0"/>
          <w:color w:val="000000"/>
          <w:spacing w:val="0"/>
          <w:sz w:val="21"/>
          <w:szCs w:val="21"/>
          <w:lang w:val="en-US" w:eastAsia="zh-CN"/>
        </w:rPr>
        <w:t xml:space="preserve">吴工 </w:t>
      </w:r>
      <w:r>
        <w:rPr>
          <w:rFonts w:hint="eastAsia" w:ascii="微软雅黑" w:hAnsi="微软雅黑" w:eastAsia="微软雅黑" w:cs="微软雅黑"/>
          <w:i w:val="0"/>
          <w:iCs w:val="0"/>
          <w:caps w:val="0"/>
          <w:color w:val="000000"/>
          <w:spacing w:val="0"/>
          <w:sz w:val="21"/>
          <w:szCs w:val="21"/>
        </w:rPr>
        <w:t>联系电话</w:t>
      </w:r>
      <w:r>
        <w:rPr>
          <w:rFonts w:hint="eastAsia" w:ascii="微软雅黑" w:hAnsi="微软雅黑" w:eastAsia="微软雅黑" w:cs="微软雅黑"/>
          <w:i w:val="0"/>
          <w:iCs w:val="0"/>
          <w:caps w:val="0"/>
          <w:color w:val="000000"/>
          <w:spacing w:val="0"/>
          <w:sz w:val="21"/>
          <w:szCs w:val="21"/>
          <w:lang w:val="en-US" w:eastAsia="zh-CN"/>
        </w:rPr>
        <w:t>:</w:t>
      </w:r>
      <w:r>
        <w:rPr>
          <w:rFonts w:hint="eastAsia" w:ascii="微软雅黑" w:hAnsi="微软雅黑" w:eastAsia="微软雅黑" w:cs="微软雅黑"/>
          <w:i w:val="0"/>
          <w:iCs w:val="0"/>
          <w:caps w:val="0"/>
          <w:color w:val="000000"/>
          <w:spacing w:val="0"/>
          <w:sz w:val="21"/>
          <w:szCs w:val="21"/>
        </w:rPr>
        <w:t>0592-2662084</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lang w:val="en-US" w:eastAsia="zh-CN"/>
        </w:rPr>
        <w:t>刘老师 联系电话：0592-2663644</w:t>
      </w:r>
    </w:p>
    <w:p w14:paraId="39E3906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53B47AE2">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i w:val="0"/>
          <w:iCs w:val="0"/>
          <w:caps w:val="0"/>
          <w:color w:val="000000"/>
          <w:spacing w:val="0"/>
          <w:sz w:val="27"/>
          <w:szCs w:val="27"/>
          <w:lang w:val="en-US" w:eastAsia="zh-CN"/>
        </w:rPr>
        <w:t>项目需求</w:t>
      </w:r>
      <w:r>
        <w:rPr>
          <w:rFonts w:hint="eastAsia" w:ascii="微软雅黑" w:hAnsi="微软雅黑" w:eastAsia="微软雅黑" w:cs="微软雅黑"/>
          <w:b/>
          <w:bCs/>
          <w:i w:val="0"/>
          <w:iCs w:val="0"/>
          <w:caps w:val="0"/>
          <w:color w:val="000000"/>
          <w:spacing w:val="0"/>
          <w:sz w:val="28"/>
          <w:szCs w:val="28"/>
        </w:rPr>
        <w:t>：</w:t>
      </w:r>
    </w:p>
    <w:tbl>
      <w:tblPr>
        <w:tblStyle w:val="7"/>
        <w:tblW w:w="8571" w:type="dxa"/>
        <w:tblInd w:w="100" w:type="dxa"/>
        <w:tblLayout w:type="fixed"/>
        <w:tblCellMar>
          <w:top w:w="0" w:type="dxa"/>
          <w:left w:w="108" w:type="dxa"/>
          <w:bottom w:w="0" w:type="dxa"/>
          <w:right w:w="108" w:type="dxa"/>
        </w:tblCellMar>
      </w:tblPr>
      <w:tblGrid>
        <w:gridCol w:w="681"/>
        <w:gridCol w:w="1160"/>
        <w:gridCol w:w="4140"/>
        <w:gridCol w:w="690"/>
        <w:gridCol w:w="700"/>
        <w:gridCol w:w="1200"/>
      </w:tblGrid>
      <w:tr w14:paraId="105D1629">
        <w:tblPrEx>
          <w:tblCellMar>
            <w:top w:w="0" w:type="dxa"/>
            <w:left w:w="108" w:type="dxa"/>
            <w:bottom w:w="0" w:type="dxa"/>
            <w:right w:w="108" w:type="dxa"/>
          </w:tblCellMar>
        </w:tblPrEx>
        <w:trPr>
          <w:trHeight w:val="55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4BA1ABE7">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137576B3">
            <w:pPr>
              <w:widowControl/>
              <w:jc w:val="center"/>
              <w:textAlignment w:val="center"/>
              <w:rPr>
                <w:rFonts w:ascii="宋体" w:hAnsi="宋体" w:cs="宋体"/>
                <w:b/>
                <w:bCs/>
                <w:szCs w:val="21"/>
              </w:rPr>
            </w:pPr>
            <w:r>
              <w:rPr>
                <w:rFonts w:hint="eastAsia" w:ascii="宋体" w:hAnsi="宋体" w:cs="宋体"/>
                <w:b/>
                <w:bCs/>
                <w:kern w:val="0"/>
                <w:szCs w:val="21"/>
              </w:rPr>
              <w:t>名称</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15E0E105">
            <w:pPr>
              <w:widowControl/>
              <w:jc w:val="center"/>
              <w:textAlignment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内容与要求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2B44D12">
            <w:pPr>
              <w:widowControl/>
              <w:jc w:val="center"/>
              <w:textAlignment w:val="center"/>
              <w:rPr>
                <w:rFonts w:ascii="宋体" w:hAnsi="宋体" w:cs="宋体"/>
                <w:b/>
                <w:bCs/>
                <w:szCs w:val="21"/>
              </w:rPr>
            </w:pPr>
            <w:r>
              <w:rPr>
                <w:rFonts w:hint="eastAsia" w:ascii="宋体" w:hAnsi="宋体" w:cs="宋体"/>
                <w:b/>
                <w:bCs/>
                <w:kern w:val="0"/>
                <w:szCs w:val="21"/>
              </w:rPr>
              <w:t>数量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F04630">
            <w:pPr>
              <w:widowControl/>
              <w:jc w:val="center"/>
              <w:textAlignment w:val="center"/>
              <w:rPr>
                <w:rFonts w:ascii="宋体" w:hAnsi="宋体" w:cs="宋体"/>
                <w:b/>
                <w:bCs/>
                <w:szCs w:val="21"/>
              </w:rPr>
            </w:pPr>
            <w:r>
              <w:rPr>
                <w:rFonts w:hint="eastAsia" w:ascii="宋体" w:hAnsi="宋体" w:cs="宋体"/>
                <w:b/>
                <w:bCs/>
                <w:kern w:val="0"/>
                <w:szCs w:val="21"/>
              </w:rPr>
              <w:t>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5695CA3">
            <w:pPr>
              <w:widowControl/>
              <w:jc w:val="center"/>
              <w:textAlignment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备注</w:t>
            </w:r>
          </w:p>
        </w:tc>
      </w:tr>
      <w:tr w14:paraId="550D82F5">
        <w:tblPrEx>
          <w:tblCellMar>
            <w:top w:w="0" w:type="dxa"/>
            <w:left w:w="108" w:type="dxa"/>
            <w:bottom w:w="0" w:type="dxa"/>
            <w:right w:w="108" w:type="dxa"/>
          </w:tblCellMar>
        </w:tblPrEx>
        <w:trPr>
          <w:trHeight w:val="4836" w:hRule="atLeast"/>
        </w:trPr>
        <w:tc>
          <w:tcPr>
            <w:tcW w:w="681" w:type="dxa"/>
            <w:tcBorders>
              <w:top w:val="single" w:color="000000" w:sz="4" w:space="0"/>
              <w:left w:val="single" w:color="000000" w:sz="4" w:space="0"/>
              <w:bottom w:val="single" w:color="auto" w:sz="4" w:space="0"/>
              <w:right w:val="single" w:color="000000" w:sz="4" w:space="0"/>
            </w:tcBorders>
            <w:noWrap w:val="0"/>
            <w:vAlign w:val="center"/>
          </w:tcPr>
          <w:p w14:paraId="21B39932">
            <w:pPr>
              <w:widowControl/>
              <w:jc w:val="center"/>
              <w:textAlignment w:val="center"/>
              <w:rPr>
                <w:rFonts w:ascii="宋体" w:hAnsi="宋体" w:cs="宋体"/>
                <w:b/>
                <w:bCs/>
                <w:sz w:val="22"/>
                <w:szCs w:val="22"/>
              </w:rPr>
            </w:pPr>
            <w:r>
              <w:rPr>
                <w:rFonts w:hint="eastAsia" w:ascii="宋体" w:hAnsi="宋体" w:cs="宋体"/>
                <w:b/>
                <w:bCs/>
                <w:kern w:val="0"/>
                <w:sz w:val="22"/>
                <w:szCs w:val="22"/>
              </w:rPr>
              <w:t>1</w:t>
            </w:r>
          </w:p>
        </w:tc>
        <w:tc>
          <w:tcPr>
            <w:tcW w:w="1160" w:type="dxa"/>
            <w:tcBorders>
              <w:top w:val="single" w:color="000000" w:sz="4" w:space="0"/>
              <w:left w:val="single" w:color="000000" w:sz="4" w:space="0"/>
              <w:bottom w:val="single" w:color="auto" w:sz="4" w:space="0"/>
              <w:right w:val="single" w:color="000000" w:sz="4" w:space="0"/>
            </w:tcBorders>
            <w:noWrap w:val="0"/>
            <w:vAlign w:val="center"/>
          </w:tcPr>
          <w:p w14:paraId="7FEB40C9">
            <w:pPr>
              <w:widowControl/>
              <w:jc w:val="center"/>
              <w:textAlignment w:val="center"/>
              <w:rPr>
                <w:rFonts w:ascii="宋体" w:hAnsi="宋体" w:cs="宋体"/>
                <w:b/>
                <w:bCs/>
                <w:sz w:val="22"/>
                <w:szCs w:val="22"/>
              </w:rPr>
            </w:pPr>
            <w:r>
              <w:rPr>
                <w:rFonts w:hint="eastAsia" w:ascii="宋体" w:hAnsi="宋体" w:cs="宋体"/>
                <w:b/>
                <w:bCs/>
                <w:kern w:val="0"/>
                <w:sz w:val="22"/>
                <w:szCs w:val="22"/>
              </w:rPr>
              <w:t>RFID</w:t>
            </w:r>
            <w:r>
              <w:rPr>
                <w:rFonts w:hint="eastAsia" w:ascii="宋体" w:hAnsi="宋体" w:cs="宋体"/>
                <w:b/>
                <w:bCs/>
                <w:kern w:val="0"/>
                <w:sz w:val="22"/>
                <w:szCs w:val="22"/>
                <w:lang w:eastAsia="zh-CN"/>
              </w:rPr>
              <w:t>移动盘点管理</w:t>
            </w:r>
            <w:r>
              <w:rPr>
                <w:rFonts w:hint="eastAsia" w:ascii="宋体" w:hAnsi="宋体" w:cs="宋体"/>
                <w:b/>
                <w:bCs/>
                <w:kern w:val="0"/>
                <w:sz w:val="22"/>
                <w:szCs w:val="22"/>
              </w:rPr>
              <w:t>系统</w:t>
            </w:r>
          </w:p>
        </w:tc>
        <w:tc>
          <w:tcPr>
            <w:tcW w:w="4140" w:type="dxa"/>
            <w:tcBorders>
              <w:top w:val="single" w:color="000000" w:sz="4" w:space="0"/>
              <w:left w:val="single" w:color="000000" w:sz="4" w:space="0"/>
              <w:bottom w:val="single" w:color="auto" w:sz="4" w:space="0"/>
              <w:right w:val="single" w:color="000000" w:sz="4" w:space="0"/>
            </w:tcBorders>
            <w:noWrap w:val="0"/>
            <w:vAlign w:val="center"/>
          </w:tcPr>
          <w:p w14:paraId="2C62E8AE">
            <w:pPr>
              <w:widowControl/>
              <w:jc w:val="left"/>
              <w:textAlignment w:val="center"/>
              <w:rPr>
                <w:rFonts w:hint="eastAsia" w:ascii="宋体" w:hAnsi="宋体" w:cs="宋体"/>
                <w:kern w:val="0"/>
                <w:szCs w:val="21"/>
              </w:rPr>
            </w:pPr>
            <w:r>
              <w:rPr>
                <w:rFonts w:hint="eastAsia" w:ascii="宋体" w:hAnsi="宋体" w:cs="宋体"/>
                <w:kern w:val="0"/>
                <w:szCs w:val="21"/>
              </w:rPr>
              <w:t>一、包含</w:t>
            </w:r>
            <w:r>
              <w:rPr>
                <w:rFonts w:hint="eastAsia" w:ascii="宋体" w:hAnsi="宋体" w:cs="宋体"/>
                <w:b/>
                <w:bCs/>
                <w:kern w:val="0"/>
                <w:sz w:val="22"/>
                <w:szCs w:val="22"/>
              </w:rPr>
              <w:t>PC后台管理系统1套、PDA软件1套、RFID打印软件1套</w:t>
            </w:r>
          </w:p>
          <w:p w14:paraId="032266AD">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rPr>
              <w:t>1、标签模板支持在浏览器上自定义，进行可视化编辑，所见即所得，通过拖拉拽文本、富文本、条码、二维码、表格、图片、直线、矩形、圆形、圆角矩形等各种可视化控件进行标签表面信息的设计，同时绑定资产相关属性信息，后续可动态打印标签表面内容；</w:t>
            </w:r>
          </w:p>
          <w:p w14:paraId="4DB24416">
            <w:pPr>
              <w:widowControl/>
              <w:jc w:val="left"/>
              <w:textAlignment w:val="center"/>
              <w:rPr>
                <w:rFonts w:hint="eastAsia" w:ascii="宋体" w:hAnsi="宋体" w:cs="宋体"/>
                <w:kern w:val="0"/>
                <w:szCs w:val="21"/>
              </w:rPr>
            </w:pPr>
            <w:r>
              <w:rPr>
                <w:rFonts w:hint="eastAsia" w:ascii="宋体" w:hAnsi="宋体" w:cs="宋体"/>
                <w:kern w:val="0"/>
                <w:szCs w:val="21"/>
              </w:rPr>
              <w:t>2、支持RFID标签打印写标，保证一次操作完成打印及转码写入RFID信息的动作（至少兼容2个RFID打印机品牌）；</w:t>
            </w:r>
          </w:p>
          <w:p w14:paraId="21D158C2">
            <w:pPr>
              <w:pStyle w:val="2"/>
              <w:ind w:left="0" w:leftChars="0" w:firstLine="0" w:firstLineChars="0"/>
              <w:rPr>
                <w:rFonts w:hint="eastAsia"/>
                <w:lang w:eastAsia="zh-CN"/>
              </w:rPr>
            </w:pP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eastAsia="宋体" w:cs="宋体"/>
                <w:kern w:val="0"/>
                <w:szCs w:val="21"/>
                <w:lang w:val="en-US" w:eastAsia="zh-CN"/>
              </w:rPr>
              <w:t>支持创建盘点计划，可根据部门、存放地点、资产分类、购入日期、资产原值、资产状态作盘点计划的盘点范围，也可以指定角色或者指定用户，将盘点计划通过邮件推送；</w:t>
            </w:r>
          </w:p>
          <w:p w14:paraId="13967DA7">
            <w:pPr>
              <w:widowControl/>
              <w:jc w:val="left"/>
              <w:textAlignment w:val="center"/>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、盘点任务支持手动盘点、1D/2D条码盘点、RFID盘点，支持记录盘点到的范围外资产，并且其余资产管理员在对资产进行盘亏处理时，展示资产编码、资产名称、盘点任务单、盘点人，供执行盘亏人员参考；</w:t>
            </w:r>
          </w:p>
          <w:p w14:paraId="222F1DEB">
            <w:pPr>
              <w:widowControl/>
              <w:jc w:val="left"/>
              <w:textAlignment w:val="center"/>
              <w:rPr>
                <w:rFonts w:hint="eastAsia" w:ascii="宋体" w:hAnsi="宋体" w:cs="宋体"/>
                <w:kern w:val="0"/>
                <w:szCs w:val="21"/>
              </w:rPr>
            </w:pPr>
            <w:r>
              <w:rPr>
                <w:rFonts w:hint="eastAsia" w:ascii="宋体" w:hAnsi="宋体" w:cs="宋体"/>
                <w:kern w:val="0"/>
                <w:szCs w:val="21"/>
              </w:rPr>
              <w:t>5、PDA支持离线盘点，在有网情况下，下载盘点任务单到本地，断网情况下仍可盘点，并将数据存放在本地，待有网络的情况下再提交到服务器；支持多台PDA同时盘点一个任务；</w:t>
            </w:r>
          </w:p>
          <w:p w14:paraId="4CA84174">
            <w:pPr>
              <w:pStyle w:val="2"/>
              <w:ind w:left="0" w:leftChars="0" w:firstLine="0" w:firstLineChars="0"/>
              <w:rPr>
                <w:rFonts w:hint="eastAsia"/>
                <w:lang w:eastAsia="zh-CN"/>
              </w:rPr>
            </w:pP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val="en-US" w:eastAsia="zh-CN"/>
              </w:rPr>
              <w:t>盘点任务结束后</w:t>
            </w:r>
            <w:r>
              <w:rPr>
                <w:rFonts w:hint="eastAsia" w:ascii="宋体" w:hAnsi="宋体" w:eastAsia="宋体" w:cs="宋体"/>
                <w:kern w:val="0"/>
                <w:szCs w:val="21"/>
                <w:lang w:val="en-US" w:eastAsia="zh-CN"/>
              </w:rPr>
              <w:t>可在盘点计划中的盘点汇总查看，支持汇总盘点计划下各个盘点任务的盘点结果，详细记录了盘点计划下各个部门的已盘数、未盘、盘亏数、盘盈数；</w:t>
            </w:r>
          </w:p>
          <w:p w14:paraId="5DEC0B90">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、管辖资产，支持自定义字段维护，自定义字段支持通用自定义字段、指定分类专用自定义字段、指定资产专用自定义字段，自定义字段至少支持文本、下拉选项及日期格式；</w:t>
            </w:r>
          </w:p>
          <w:p w14:paraId="6E526BCC">
            <w:pPr>
              <w:pStyle w:val="2"/>
              <w:ind w:left="0" w:leftChars="0" w:firstLine="0" w:firstLineChars="0"/>
              <w:rPr>
                <w:rFonts w:hint="eastAsia" w:ascii="宋体" w:hAnsi="宋体" w:eastAsia="宋体" w:cs="宋体"/>
                <w:kern w:val="0"/>
                <w:szCs w:val="21"/>
                <w:lang w:val="en-US" w:eastAsia="zh-CN"/>
              </w:rPr>
            </w:pPr>
            <w:r>
              <w:rPr>
                <w:rFonts w:hint="eastAsia" w:ascii="宋体" w:hAnsi="宋体" w:cs="宋体"/>
                <w:kern w:val="0"/>
                <w:szCs w:val="21"/>
                <w:lang w:val="en-US" w:eastAsia="zh-CN"/>
              </w:rPr>
              <w:t>8</w:t>
            </w:r>
            <w:r>
              <w:rPr>
                <w:rFonts w:hint="eastAsia" w:ascii="宋体" w:hAnsi="宋体" w:eastAsia="宋体" w:cs="宋体"/>
                <w:kern w:val="0"/>
                <w:szCs w:val="21"/>
                <w:lang w:val="en-US" w:eastAsia="zh-CN"/>
              </w:rPr>
              <w:t>、存放地点管理，支持存放地点与公司绑定，支持地点层级关系，支持对地点信息的修改维护；</w:t>
            </w:r>
          </w:p>
          <w:p w14:paraId="5257882E">
            <w:pPr>
              <w:rPr>
                <w:rFonts w:hint="default" w:ascii="宋体" w:hAnsi="宋体" w:eastAsia="宋体" w:cs="宋体"/>
                <w:kern w:val="0"/>
                <w:szCs w:val="21"/>
                <w:lang w:eastAsia="zh-CN"/>
              </w:rPr>
            </w:pPr>
            <w:r>
              <w:rPr>
                <w:rFonts w:hint="eastAsia" w:ascii="宋体" w:hAnsi="宋体" w:cs="宋体"/>
                <w:kern w:val="0"/>
                <w:szCs w:val="21"/>
                <w:lang w:val="en-US" w:eastAsia="zh-CN"/>
              </w:rPr>
              <w:t>9</w:t>
            </w:r>
            <w:r>
              <w:rPr>
                <w:rFonts w:hint="eastAsia" w:ascii="宋体" w:hAnsi="宋体" w:eastAsia="宋体" w:cs="宋体"/>
                <w:kern w:val="0"/>
                <w:szCs w:val="21"/>
                <w:lang w:val="en-US" w:eastAsia="zh-CN"/>
              </w:rPr>
              <w:t>、</w:t>
            </w:r>
            <w:r>
              <w:rPr>
                <w:rFonts w:hint="default" w:ascii="宋体" w:hAnsi="宋体" w:eastAsia="宋体" w:cs="宋体"/>
                <w:kern w:val="0"/>
                <w:szCs w:val="21"/>
                <w:lang w:eastAsia="zh-CN"/>
              </w:rPr>
              <w:t>具备资产分布可视化功能，资产分布地图支持</w:t>
            </w:r>
            <w:r>
              <w:rPr>
                <w:rFonts w:hint="eastAsia" w:ascii="宋体" w:hAnsi="宋体" w:eastAsia="宋体" w:cs="宋体"/>
                <w:kern w:val="0"/>
                <w:szCs w:val="21"/>
                <w:lang w:val="en-US" w:eastAsia="zh-CN"/>
              </w:rPr>
              <w:t>2.5D和平面展示</w:t>
            </w:r>
            <w:r>
              <w:rPr>
                <w:rFonts w:hint="default" w:ascii="宋体" w:hAnsi="宋体" w:eastAsia="宋体" w:cs="宋体"/>
                <w:kern w:val="0"/>
                <w:szCs w:val="21"/>
                <w:lang w:eastAsia="zh-CN"/>
              </w:rPr>
              <w:t>。地图上需体现资产存放地分布，并展示每个存放地下具体的资产数量。具备数据穿透能力，点击资产数量可查看存放地下具体的资产详情。</w:t>
            </w:r>
          </w:p>
          <w:p w14:paraId="57DEFE0E">
            <w:pPr>
              <w:rPr>
                <w:rFonts w:hint="default" w:ascii="宋体" w:hAnsi="宋体" w:eastAsia="宋体" w:cs="宋体"/>
                <w:kern w:val="0"/>
                <w:szCs w:val="21"/>
                <w:lang w:eastAsia="zh-CN"/>
              </w:rPr>
            </w:pPr>
            <w:r>
              <w:rPr>
                <w:rFonts w:hint="default" w:ascii="宋体" w:hAnsi="宋体" w:cs="宋体"/>
                <w:kern w:val="0"/>
                <w:szCs w:val="21"/>
              </w:rPr>
              <w:t>10</w:t>
            </w:r>
            <w:r>
              <w:rPr>
                <w:rFonts w:hint="eastAsia" w:ascii="宋体" w:hAnsi="宋体" w:eastAsia="宋体" w:cs="宋体"/>
                <w:kern w:val="0"/>
                <w:szCs w:val="21"/>
                <w:lang w:val="en-US" w:eastAsia="zh-CN"/>
              </w:rPr>
              <w:t>、</w:t>
            </w:r>
            <w:r>
              <w:rPr>
                <w:rFonts w:hint="default" w:ascii="宋体" w:hAnsi="宋体" w:eastAsia="宋体" w:cs="宋体"/>
                <w:kern w:val="0"/>
                <w:szCs w:val="21"/>
                <w:lang w:eastAsia="zh-CN"/>
              </w:rPr>
              <w:t>用户可自行进行存放地点与地图进行绑定和打点工作，只需选择需绑定的存放地，点击对应地图位置即可完成绑定；支持在地图上点击位置直接创建新的存放地。</w:t>
            </w:r>
          </w:p>
          <w:p w14:paraId="16C5EDBD">
            <w:pPr>
              <w:widowControl/>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w:t>
            </w:r>
            <w:r>
              <w:rPr>
                <w:rFonts w:hint="default" w:ascii="宋体" w:hAnsi="宋体" w:cs="宋体"/>
                <w:kern w:val="0"/>
                <w:szCs w:val="21"/>
                <w:lang w:eastAsia="zh-CN"/>
              </w:rPr>
              <w:t>1</w:t>
            </w:r>
            <w:r>
              <w:rPr>
                <w:rFonts w:hint="eastAsia" w:ascii="宋体" w:hAnsi="宋体" w:eastAsia="宋体" w:cs="宋体"/>
                <w:kern w:val="0"/>
                <w:szCs w:val="21"/>
                <w:lang w:val="en-US" w:eastAsia="zh-CN"/>
              </w:rPr>
              <w:t>、</w:t>
            </w:r>
            <w:r>
              <w:rPr>
                <w:rFonts w:hint="eastAsia" w:ascii="宋体" w:hAnsi="宋体" w:eastAsia="宋体" w:cs="宋体"/>
                <w:kern w:val="0"/>
                <w:szCs w:val="21"/>
              </w:rPr>
              <w:t>支持用户级别的可视化工作流配置，支持审批角色、审批人、抄送人、审批条件判断、审批分支、评论、通过、驳回</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自动通过</w:t>
            </w:r>
            <w:r>
              <w:rPr>
                <w:rFonts w:hint="eastAsia" w:ascii="宋体" w:hAnsi="宋体" w:eastAsia="宋体" w:cs="宋体"/>
                <w:kern w:val="0"/>
                <w:szCs w:val="21"/>
              </w:rPr>
              <w:t>等功能；</w:t>
            </w:r>
          </w:p>
          <w:p w14:paraId="34CBEA01">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r>
              <w:rPr>
                <w:rFonts w:hint="default" w:ascii="宋体" w:hAnsi="宋体" w:cs="宋体"/>
                <w:kern w:val="0"/>
                <w:szCs w:val="21"/>
                <w:lang w:eastAsia="zh-CN"/>
              </w:rPr>
              <w:t>2</w:t>
            </w:r>
            <w:r>
              <w:rPr>
                <w:rFonts w:hint="eastAsia" w:ascii="宋体" w:hAnsi="宋体" w:cs="宋体"/>
                <w:kern w:val="0"/>
                <w:szCs w:val="21"/>
              </w:rPr>
              <w:t>、需要对接医院物资管理系统，支持一次录入，多系统自动同步，避免数据多次录入</w:t>
            </w:r>
            <w:r>
              <w:rPr>
                <w:rFonts w:hint="eastAsia" w:ascii="宋体" w:hAnsi="宋体" w:cs="宋体"/>
                <w:kern w:val="0"/>
                <w:szCs w:val="21"/>
                <w:lang w:eastAsia="zh-CN"/>
              </w:rPr>
              <w:t>；</w:t>
            </w:r>
          </w:p>
          <w:p w14:paraId="2350D788">
            <w:pPr>
              <w:widowControl/>
              <w:jc w:val="left"/>
              <w:textAlignment w:val="center"/>
              <w:rPr>
                <w:rFonts w:hint="eastAsia" w:ascii="宋体" w:hAnsi="宋体" w:cs="宋体"/>
                <w:b/>
                <w:bCs/>
                <w:kern w:val="0"/>
                <w:sz w:val="22"/>
                <w:szCs w:val="22"/>
              </w:rPr>
            </w:pPr>
            <w:r>
              <w:rPr>
                <w:rFonts w:hint="eastAsia" w:ascii="宋体" w:hAnsi="宋体" w:cs="宋体"/>
                <w:kern w:val="0"/>
                <w:szCs w:val="21"/>
                <w:lang w:val="en-US" w:eastAsia="zh-CN"/>
              </w:rPr>
              <w:t>1</w:t>
            </w:r>
            <w:r>
              <w:rPr>
                <w:rFonts w:hint="default" w:ascii="宋体" w:hAnsi="宋体" w:cs="宋体"/>
                <w:kern w:val="0"/>
                <w:szCs w:val="21"/>
                <w:lang w:eastAsia="zh-CN"/>
              </w:rPr>
              <w:t>3</w:t>
            </w:r>
            <w:r>
              <w:rPr>
                <w:rFonts w:hint="eastAsia" w:ascii="宋体" w:hAnsi="宋体" w:cs="宋体"/>
                <w:kern w:val="0"/>
                <w:szCs w:val="21"/>
              </w:rPr>
              <w:t>、除以上所有功能外，需对接医院OA系统，OA系统作为统一的导航入口，可一键进入固定资产管理系统</w:t>
            </w:r>
          </w:p>
        </w:tc>
        <w:tc>
          <w:tcPr>
            <w:tcW w:w="690" w:type="dxa"/>
            <w:tcBorders>
              <w:top w:val="single" w:color="000000" w:sz="4" w:space="0"/>
              <w:left w:val="single" w:color="000000" w:sz="4" w:space="0"/>
              <w:bottom w:val="single" w:color="auto" w:sz="4" w:space="0"/>
              <w:right w:val="single" w:color="000000" w:sz="4" w:space="0"/>
            </w:tcBorders>
            <w:noWrap w:val="0"/>
            <w:vAlign w:val="center"/>
          </w:tcPr>
          <w:p w14:paraId="248DFC16">
            <w:pPr>
              <w:jc w:val="center"/>
              <w:textAlignment w:val="center"/>
              <w:rPr>
                <w:rFonts w:ascii="宋体" w:hAnsi="宋体" w:cs="宋体"/>
                <w:b/>
                <w:bCs/>
                <w:sz w:val="22"/>
                <w:szCs w:val="22"/>
              </w:rPr>
            </w:pPr>
            <w:r>
              <w:rPr>
                <w:rFonts w:hint="eastAsia" w:ascii="宋体" w:hAnsi="宋体" w:cs="宋体"/>
                <w:b/>
                <w:bCs/>
                <w:kern w:val="0"/>
                <w:sz w:val="22"/>
                <w:szCs w:val="22"/>
              </w:rPr>
              <w:t>1</w:t>
            </w:r>
          </w:p>
        </w:tc>
        <w:tc>
          <w:tcPr>
            <w:tcW w:w="700" w:type="dxa"/>
            <w:tcBorders>
              <w:top w:val="single" w:color="000000" w:sz="4" w:space="0"/>
              <w:left w:val="single" w:color="000000" w:sz="4" w:space="0"/>
              <w:bottom w:val="single" w:color="auto" w:sz="4" w:space="0"/>
              <w:right w:val="single" w:color="000000" w:sz="4" w:space="0"/>
            </w:tcBorders>
            <w:noWrap w:val="0"/>
            <w:vAlign w:val="center"/>
          </w:tcPr>
          <w:p w14:paraId="4D19276E">
            <w:pPr>
              <w:jc w:val="center"/>
              <w:textAlignment w:val="center"/>
              <w:rPr>
                <w:rFonts w:ascii="宋体" w:hAnsi="宋体" w:cs="宋体"/>
                <w:b/>
                <w:bCs/>
                <w:sz w:val="22"/>
                <w:szCs w:val="22"/>
              </w:rPr>
            </w:pPr>
            <w:r>
              <w:rPr>
                <w:rFonts w:hint="eastAsia" w:ascii="宋体" w:hAnsi="宋体" w:cs="宋体"/>
                <w:b/>
                <w:bCs/>
                <w:kern w:val="0"/>
                <w:sz w:val="22"/>
                <w:szCs w:val="22"/>
              </w:rPr>
              <w:t>套</w:t>
            </w:r>
          </w:p>
        </w:tc>
        <w:tc>
          <w:tcPr>
            <w:tcW w:w="1200" w:type="dxa"/>
            <w:vMerge w:val="restart"/>
            <w:tcBorders>
              <w:top w:val="single" w:color="000000" w:sz="4" w:space="0"/>
              <w:left w:val="single" w:color="000000" w:sz="4" w:space="0"/>
              <w:right w:val="single" w:color="000000" w:sz="4" w:space="0"/>
            </w:tcBorders>
            <w:noWrap w:val="0"/>
            <w:vAlign w:val="center"/>
          </w:tcPr>
          <w:p w14:paraId="274D7E8E">
            <w:pPr>
              <w:jc w:val="center"/>
              <w:textAlignment w:val="center"/>
              <w:rPr>
                <w:rFonts w:hint="eastAsia" w:ascii="宋体" w:hAnsi="宋体" w:cs="宋体"/>
                <w:b/>
                <w:bCs/>
                <w:kern w:val="0"/>
                <w:sz w:val="22"/>
                <w:szCs w:val="22"/>
                <w:highlight w:val="none"/>
              </w:rPr>
            </w:pPr>
            <w:r>
              <w:rPr>
                <w:rFonts w:hint="eastAsia" w:ascii="宋体" w:hAnsi="宋体" w:cs="宋体"/>
                <w:szCs w:val="21"/>
                <w:highlight w:val="none"/>
                <w:lang w:eastAsia="zh-CN"/>
              </w:rPr>
              <w:t>软件</w:t>
            </w:r>
            <w:r>
              <w:rPr>
                <w:rFonts w:hint="eastAsia" w:ascii="宋体" w:hAnsi="宋体"/>
                <w:szCs w:val="21"/>
                <w:highlight w:val="none"/>
              </w:rPr>
              <w:t>质保期</w:t>
            </w:r>
            <w:r>
              <w:rPr>
                <w:rFonts w:hint="eastAsia" w:ascii="宋体" w:hAnsi="宋体"/>
                <w:szCs w:val="21"/>
                <w:highlight w:val="none"/>
                <w:lang w:eastAsia="zh-CN"/>
              </w:rPr>
              <w:t>要求自验收合格后</w:t>
            </w:r>
            <w:r>
              <w:rPr>
                <w:rFonts w:hint="eastAsia" w:ascii="宋体" w:hAnsi="宋体"/>
                <w:szCs w:val="21"/>
                <w:highlight w:val="none"/>
              </w:rPr>
              <w:t>不低于</w:t>
            </w:r>
            <w:r>
              <w:rPr>
                <w:rFonts w:hint="eastAsia" w:ascii="宋体" w:hAnsi="宋体"/>
                <w:szCs w:val="21"/>
                <w:highlight w:val="none"/>
                <w:lang w:val="en-US" w:eastAsia="zh-CN"/>
              </w:rPr>
              <w:t>24</w:t>
            </w:r>
            <w:r>
              <w:rPr>
                <w:rFonts w:hint="eastAsia" w:ascii="宋体" w:hAnsi="宋体"/>
                <w:szCs w:val="21"/>
                <w:highlight w:val="none"/>
              </w:rPr>
              <w:t>个月</w:t>
            </w:r>
            <w:r>
              <w:rPr>
                <w:rFonts w:hint="eastAsia" w:ascii="宋体" w:hAnsi="宋体"/>
                <w:szCs w:val="21"/>
                <w:highlight w:val="none"/>
                <w:lang w:eastAsia="zh-CN"/>
              </w:rPr>
              <w:t>，硬件质保期要求自验收合格后不低于</w:t>
            </w:r>
            <w:r>
              <w:rPr>
                <w:rFonts w:hint="eastAsia" w:ascii="宋体" w:hAnsi="宋体"/>
                <w:szCs w:val="21"/>
                <w:highlight w:val="none"/>
                <w:lang w:val="en-US" w:eastAsia="zh-CN"/>
              </w:rPr>
              <w:t>12个月</w:t>
            </w:r>
            <w:r>
              <w:rPr>
                <w:rFonts w:hint="eastAsia" w:ascii="宋体" w:hAnsi="宋体"/>
                <w:szCs w:val="21"/>
                <w:highlight w:val="none"/>
              </w:rPr>
              <w:t>。质保期内出现故障，需派出技术人员到达现场处理故障，并承担一切费用。</w:t>
            </w:r>
            <w:r>
              <w:rPr>
                <w:rFonts w:hint="eastAsia" w:ascii="宋体" w:hAnsi="宋体"/>
                <w:bCs/>
                <w:szCs w:val="21"/>
                <w:highlight w:val="none"/>
              </w:rPr>
              <w:t>免费</w:t>
            </w:r>
            <w:r>
              <w:rPr>
                <w:rFonts w:hint="eastAsia" w:ascii="宋体" w:hAnsi="宋体"/>
                <w:szCs w:val="21"/>
                <w:highlight w:val="none"/>
              </w:rPr>
              <w:t>质保期</w:t>
            </w:r>
            <w:r>
              <w:rPr>
                <w:rFonts w:hint="eastAsia" w:ascii="宋体" w:hAnsi="宋体"/>
                <w:bCs/>
                <w:szCs w:val="21"/>
                <w:highlight w:val="none"/>
              </w:rPr>
              <w:t>后提供有偿维护，要求</w:t>
            </w:r>
            <w:r>
              <w:rPr>
                <w:rFonts w:hint="eastAsia" w:ascii="宋体" w:hAnsi="宋体"/>
                <w:szCs w:val="21"/>
                <w:highlight w:val="none"/>
              </w:rPr>
              <w:t>质保期</w:t>
            </w:r>
            <w:r>
              <w:rPr>
                <w:rFonts w:hint="eastAsia" w:ascii="宋体" w:hAnsi="宋体"/>
                <w:bCs/>
                <w:szCs w:val="21"/>
                <w:highlight w:val="none"/>
              </w:rPr>
              <w:t>后系统维护费不高于每年</w:t>
            </w:r>
            <w:r>
              <w:rPr>
                <w:rFonts w:hint="eastAsia" w:ascii="宋体" w:hAnsi="宋体"/>
                <w:bCs/>
                <w:szCs w:val="21"/>
                <w:highlight w:val="none"/>
                <w:lang w:val="en-US" w:eastAsia="zh-CN"/>
              </w:rPr>
              <w:t>3</w:t>
            </w:r>
            <w:r>
              <w:rPr>
                <w:rFonts w:hint="eastAsia" w:ascii="宋体" w:hAnsi="宋体"/>
                <w:bCs/>
                <w:szCs w:val="21"/>
                <w:highlight w:val="none"/>
              </w:rPr>
              <w:t>万元，提供保修期外零配件优惠供应保障</w:t>
            </w:r>
          </w:p>
        </w:tc>
      </w:tr>
      <w:tr w14:paraId="6BB8CF6E">
        <w:tblPrEx>
          <w:tblCellMar>
            <w:top w:w="0" w:type="dxa"/>
            <w:left w:w="108" w:type="dxa"/>
            <w:bottom w:w="0" w:type="dxa"/>
            <w:right w:w="108" w:type="dxa"/>
          </w:tblCellMar>
        </w:tblPrEx>
        <w:trPr>
          <w:trHeight w:val="2092" w:hRule="atLeast"/>
        </w:trPr>
        <w:tc>
          <w:tcPr>
            <w:tcW w:w="681" w:type="dxa"/>
            <w:tcBorders>
              <w:top w:val="single" w:color="auto" w:sz="4" w:space="0"/>
              <w:left w:val="single" w:color="000000" w:sz="4" w:space="0"/>
              <w:bottom w:val="single" w:color="000000" w:sz="4" w:space="0"/>
              <w:right w:val="single" w:color="000000" w:sz="4" w:space="0"/>
            </w:tcBorders>
            <w:noWrap w:val="0"/>
            <w:vAlign w:val="center"/>
          </w:tcPr>
          <w:p w14:paraId="7C1171D7">
            <w:pPr>
              <w:widowControl/>
              <w:jc w:val="center"/>
              <w:textAlignment w:val="center"/>
              <w:rPr>
                <w:rFonts w:ascii="宋体" w:hAnsi="宋体" w:cs="宋体"/>
                <w:b/>
                <w:bCs/>
                <w:sz w:val="22"/>
                <w:szCs w:val="22"/>
              </w:rPr>
            </w:pPr>
            <w:r>
              <w:rPr>
                <w:rFonts w:hint="eastAsia" w:ascii="宋体" w:hAnsi="宋体" w:cs="宋体"/>
                <w:b/>
                <w:bCs/>
                <w:kern w:val="0"/>
                <w:sz w:val="22"/>
                <w:szCs w:val="22"/>
              </w:rPr>
              <w:t>2</w:t>
            </w:r>
          </w:p>
        </w:tc>
        <w:tc>
          <w:tcPr>
            <w:tcW w:w="1160" w:type="dxa"/>
            <w:tcBorders>
              <w:top w:val="single" w:color="auto" w:sz="4" w:space="0"/>
              <w:left w:val="single" w:color="000000" w:sz="4" w:space="0"/>
              <w:bottom w:val="single" w:color="000000" w:sz="4" w:space="0"/>
              <w:right w:val="single" w:color="000000" w:sz="4" w:space="0"/>
            </w:tcBorders>
            <w:noWrap w:val="0"/>
            <w:vAlign w:val="center"/>
          </w:tcPr>
          <w:p w14:paraId="47027937">
            <w:pPr>
              <w:widowControl/>
              <w:jc w:val="center"/>
              <w:textAlignment w:val="center"/>
              <w:rPr>
                <w:rFonts w:ascii="宋体" w:hAnsi="宋体" w:cs="宋体"/>
                <w:b/>
                <w:bCs/>
                <w:sz w:val="22"/>
                <w:szCs w:val="22"/>
              </w:rPr>
            </w:pPr>
            <w:r>
              <w:rPr>
                <w:rFonts w:hint="eastAsia" w:ascii="宋体" w:hAnsi="宋体" w:cs="宋体"/>
                <w:b/>
                <w:bCs/>
                <w:kern w:val="0"/>
                <w:sz w:val="22"/>
                <w:szCs w:val="22"/>
              </w:rPr>
              <w:t>RFID便携式PDA</w:t>
            </w:r>
          </w:p>
        </w:tc>
        <w:tc>
          <w:tcPr>
            <w:tcW w:w="4140" w:type="dxa"/>
            <w:tcBorders>
              <w:top w:val="single" w:color="auto" w:sz="4" w:space="0"/>
              <w:left w:val="single" w:color="000000" w:sz="4" w:space="0"/>
              <w:bottom w:val="single" w:color="000000" w:sz="4" w:space="0"/>
              <w:right w:val="single" w:color="000000" w:sz="4" w:space="0"/>
            </w:tcBorders>
            <w:noWrap w:val="0"/>
            <w:vAlign w:val="center"/>
          </w:tcPr>
          <w:p w14:paraId="561883AF">
            <w:pPr>
              <w:widowControl/>
              <w:jc w:val="left"/>
              <w:textAlignment w:val="center"/>
              <w:rPr>
                <w:rFonts w:hint="eastAsia" w:ascii="宋体" w:hAnsi="宋体" w:cs="宋体" w:eastAsiaTheme="minorEastAsia"/>
                <w:b/>
                <w:bCs/>
                <w:kern w:val="0"/>
                <w:sz w:val="22"/>
                <w:szCs w:val="22"/>
                <w:lang w:val="en-US" w:eastAsia="zh-CN"/>
              </w:rPr>
            </w:pPr>
            <w:r>
              <w:rPr>
                <w:rFonts w:hint="eastAsia" w:ascii="宋体" w:hAnsi="宋体" w:cs="宋体"/>
                <w:kern w:val="0"/>
                <w:szCs w:val="21"/>
                <w:lang w:val="en-US" w:eastAsia="zh-CN"/>
              </w:rPr>
              <w:t>适配本项</w:t>
            </w:r>
            <w:r>
              <w:rPr>
                <w:rFonts w:hint="eastAsia" w:ascii="宋体" w:hAnsi="宋体" w:cs="宋体"/>
                <w:kern w:val="0"/>
                <w:szCs w:val="21"/>
              </w:rPr>
              <w:t xml:space="preserve">APP </w:t>
            </w:r>
            <w:r>
              <w:rPr>
                <w:rFonts w:hint="eastAsia" w:ascii="宋体" w:hAnsi="宋体" w:cs="宋体"/>
                <w:kern w:val="0"/>
                <w:szCs w:val="21"/>
                <w:lang w:val="en-US" w:eastAsia="zh-CN"/>
              </w:rPr>
              <w:t>软件。</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14:paraId="4206AD0F">
            <w:pPr>
              <w:widowControl/>
              <w:jc w:val="center"/>
              <w:textAlignment w:val="center"/>
              <w:rPr>
                <w:rFonts w:hint="eastAsia" w:ascii="宋体" w:hAnsi="宋体" w:eastAsia="宋体" w:cs="宋体"/>
                <w:b/>
                <w:bCs/>
                <w:sz w:val="22"/>
                <w:szCs w:val="22"/>
                <w:lang w:eastAsia="zh-CN"/>
              </w:rPr>
            </w:pPr>
            <w:r>
              <w:rPr>
                <w:rFonts w:hint="eastAsia" w:ascii="宋体" w:hAnsi="宋体" w:cs="宋体"/>
                <w:b/>
                <w:bCs/>
                <w:kern w:val="0"/>
                <w:sz w:val="22"/>
                <w:szCs w:val="22"/>
                <w:lang w:val="en-US" w:eastAsia="zh-CN"/>
              </w:rPr>
              <w:t>4</w:t>
            </w:r>
          </w:p>
        </w:tc>
        <w:tc>
          <w:tcPr>
            <w:tcW w:w="700" w:type="dxa"/>
            <w:tcBorders>
              <w:top w:val="single" w:color="auto" w:sz="4" w:space="0"/>
              <w:left w:val="single" w:color="000000" w:sz="4" w:space="0"/>
              <w:bottom w:val="single" w:color="000000" w:sz="4" w:space="0"/>
              <w:right w:val="single" w:color="000000" w:sz="4" w:space="0"/>
            </w:tcBorders>
            <w:noWrap w:val="0"/>
            <w:vAlign w:val="center"/>
          </w:tcPr>
          <w:p w14:paraId="7F2DC762">
            <w:pPr>
              <w:widowControl/>
              <w:jc w:val="center"/>
              <w:textAlignment w:val="center"/>
              <w:rPr>
                <w:rFonts w:ascii="宋体" w:hAnsi="宋体" w:cs="宋体"/>
                <w:b/>
                <w:bCs/>
                <w:sz w:val="22"/>
                <w:szCs w:val="22"/>
              </w:rPr>
            </w:pPr>
            <w:r>
              <w:rPr>
                <w:rFonts w:hint="eastAsia" w:ascii="宋体" w:hAnsi="宋体" w:cs="宋体"/>
                <w:b/>
                <w:bCs/>
                <w:kern w:val="0"/>
                <w:sz w:val="22"/>
                <w:szCs w:val="22"/>
              </w:rPr>
              <w:t>台</w:t>
            </w:r>
          </w:p>
        </w:tc>
        <w:tc>
          <w:tcPr>
            <w:tcW w:w="1200" w:type="dxa"/>
            <w:vMerge w:val="continue"/>
            <w:tcBorders>
              <w:left w:val="single" w:color="000000" w:sz="4" w:space="0"/>
              <w:right w:val="single" w:color="000000" w:sz="4" w:space="0"/>
            </w:tcBorders>
            <w:noWrap w:val="0"/>
            <w:vAlign w:val="center"/>
          </w:tcPr>
          <w:p w14:paraId="0CF6BE2A">
            <w:pPr>
              <w:widowControl/>
              <w:jc w:val="center"/>
              <w:textAlignment w:val="center"/>
              <w:rPr>
                <w:rFonts w:hint="eastAsia" w:ascii="宋体" w:hAnsi="宋体" w:cs="宋体"/>
                <w:b/>
                <w:bCs/>
                <w:kern w:val="0"/>
                <w:sz w:val="22"/>
                <w:szCs w:val="22"/>
              </w:rPr>
            </w:pPr>
          </w:p>
        </w:tc>
      </w:tr>
      <w:tr w14:paraId="16BA21FC">
        <w:tblPrEx>
          <w:tblCellMar>
            <w:top w:w="0" w:type="dxa"/>
            <w:left w:w="108" w:type="dxa"/>
            <w:bottom w:w="0" w:type="dxa"/>
            <w:right w:w="108" w:type="dxa"/>
          </w:tblCellMar>
        </w:tblPrEx>
        <w:trPr>
          <w:trHeight w:val="164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0A497C38">
            <w:pPr>
              <w:widowControl/>
              <w:jc w:val="center"/>
              <w:textAlignment w:val="center"/>
              <w:rPr>
                <w:rFonts w:ascii="宋体" w:hAnsi="宋体" w:cs="宋体"/>
                <w:b/>
                <w:bCs/>
                <w:sz w:val="22"/>
                <w:szCs w:val="22"/>
              </w:rPr>
            </w:pPr>
            <w:r>
              <w:rPr>
                <w:rFonts w:hint="eastAsia" w:ascii="宋体" w:hAnsi="宋体" w:cs="宋体"/>
                <w:b/>
                <w:bCs/>
                <w:kern w:val="0"/>
                <w:sz w:val="22"/>
                <w:szCs w:val="22"/>
              </w:rPr>
              <w:t>4</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3590BAB1">
            <w:pPr>
              <w:widowControl/>
              <w:jc w:val="center"/>
              <w:textAlignment w:val="center"/>
              <w:rPr>
                <w:rFonts w:ascii="宋体" w:hAnsi="宋体" w:cs="宋体"/>
                <w:b/>
                <w:bCs/>
                <w:sz w:val="22"/>
                <w:szCs w:val="22"/>
              </w:rPr>
            </w:pPr>
            <w:r>
              <w:rPr>
                <w:rFonts w:hint="eastAsia" w:ascii="宋体" w:hAnsi="宋体" w:cs="宋体"/>
                <w:b/>
                <w:bCs/>
                <w:kern w:val="0"/>
                <w:sz w:val="22"/>
                <w:szCs w:val="22"/>
              </w:rPr>
              <w:t>可打印柔性抗金属标签</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3C827A2B">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rPr>
              <w:t>1、 封装材质 PET/铝箔/泡棉</w:t>
            </w:r>
          </w:p>
          <w:p w14:paraId="59588176">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rPr>
              <w:t>2、 频率 全球 860～960Mhz</w:t>
            </w:r>
          </w:p>
          <w:p w14:paraId="72D2C620">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rPr>
              <w:t>3、 协议 ISO/IEC 18000-6C &amp; EPC global Class 1 Gen 2</w:t>
            </w:r>
          </w:p>
          <w:p w14:paraId="32EB6B22">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rPr>
              <w:t>4、 EPC 内存 ≥96bits</w:t>
            </w:r>
          </w:p>
          <w:p w14:paraId="608CCE55">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rPr>
              <w:t>5、 金属表面读取距离 ≥5m</w:t>
            </w:r>
          </w:p>
          <w:p w14:paraId="14FB5F82">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rPr>
              <w:t>6、 数据保留 ≥10 年</w:t>
            </w:r>
          </w:p>
          <w:p w14:paraId="5267F5C7">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rPr>
              <w:t>7、 可读可写 &gt;100000次</w:t>
            </w:r>
          </w:p>
          <w:p w14:paraId="2526737B">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rPr>
              <w:t>8、 标签尺寸要求 65(L)*35(W)mm</w:t>
            </w:r>
          </w:p>
          <w:p w14:paraId="17E5275D">
            <w:pPr>
              <w:widowControl/>
              <w:jc w:val="left"/>
              <w:textAlignment w:val="center"/>
              <w:rPr>
                <w:rFonts w:hint="eastAsia" w:ascii="宋体" w:hAnsi="宋体" w:eastAsia="宋体" w:cs="宋体"/>
                <w:b/>
                <w:bCs/>
                <w:sz w:val="22"/>
                <w:szCs w:val="22"/>
                <w:lang w:val="en-US" w:eastAsia="zh-CN"/>
              </w:rPr>
            </w:pPr>
            <w:r>
              <w:rPr>
                <w:rFonts w:hint="eastAsia" w:ascii="宋体" w:hAnsi="宋体" w:cs="宋体"/>
                <w:kern w:val="0"/>
                <w:szCs w:val="21"/>
              </w:rPr>
              <w:t>9、 粘贴方式 双面背胶粘贴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AE4AB0B">
            <w:pPr>
              <w:widowControl/>
              <w:jc w:val="center"/>
              <w:textAlignment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8000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C16992">
            <w:pPr>
              <w:widowControl/>
              <w:jc w:val="center"/>
              <w:textAlignment w:val="center"/>
              <w:rPr>
                <w:rFonts w:ascii="宋体" w:hAnsi="宋体" w:cs="宋体"/>
                <w:b/>
                <w:bCs/>
                <w:sz w:val="22"/>
                <w:szCs w:val="22"/>
              </w:rPr>
            </w:pPr>
            <w:r>
              <w:rPr>
                <w:rFonts w:hint="eastAsia" w:ascii="宋体" w:hAnsi="宋体" w:cs="宋体"/>
                <w:b/>
                <w:bCs/>
                <w:kern w:val="0"/>
                <w:sz w:val="22"/>
                <w:szCs w:val="22"/>
              </w:rPr>
              <w:t>张</w:t>
            </w:r>
          </w:p>
        </w:tc>
        <w:tc>
          <w:tcPr>
            <w:tcW w:w="1200" w:type="dxa"/>
            <w:vMerge w:val="continue"/>
            <w:tcBorders>
              <w:left w:val="single" w:color="000000" w:sz="4" w:space="0"/>
              <w:right w:val="single" w:color="000000" w:sz="4" w:space="0"/>
            </w:tcBorders>
            <w:noWrap w:val="0"/>
            <w:vAlign w:val="center"/>
          </w:tcPr>
          <w:p w14:paraId="574685D4">
            <w:pPr>
              <w:widowControl/>
              <w:jc w:val="center"/>
              <w:textAlignment w:val="center"/>
              <w:rPr>
                <w:rFonts w:hint="eastAsia" w:ascii="宋体" w:hAnsi="宋体" w:cs="宋体"/>
                <w:b/>
                <w:bCs/>
                <w:kern w:val="0"/>
                <w:sz w:val="22"/>
                <w:szCs w:val="22"/>
              </w:rPr>
            </w:pPr>
          </w:p>
        </w:tc>
      </w:tr>
      <w:tr w14:paraId="63EFB002">
        <w:tblPrEx>
          <w:tblCellMar>
            <w:top w:w="0" w:type="dxa"/>
            <w:left w:w="108" w:type="dxa"/>
            <w:bottom w:w="0" w:type="dxa"/>
            <w:right w:w="108" w:type="dxa"/>
          </w:tblCellMar>
        </w:tblPrEx>
        <w:trPr>
          <w:trHeight w:val="1418"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06D4311E">
            <w:pPr>
              <w:widowControl/>
              <w:jc w:val="center"/>
              <w:textAlignment w:val="center"/>
              <w:rPr>
                <w:rFonts w:ascii="宋体" w:hAnsi="宋体" w:cs="宋体"/>
                <w:b/>
                <w:bCs/>
                <w:sz w:val="22"/>
                <w:szCs w:val="22"/>
              </w:rPr>
            </w:pPr>
            <w:r>
              <w:rPr>
                <w:rFonts w:hint="eastAsia" w:ascii="宋体" w:hAnsi="宋体" w:cs="宋体"/>
                <w:b/>
                <w:bCs/>
                <w:kern w:val="0"/>
                <w:sz w:val="22"/>
                <w:szCs w:val="22"/>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59D8E2F9">
            <w:pPr>
              <w:widowControl/>
              <w:jc w:val="center"/>
              <w:textAlignment w:val="center"/>
              <w:rPr>
                <w:rFonts w:ascii="宋体" w:hAnsi="宋体" w:cs="宋体"/>
                <w:b/>
                <w:bCs/>
                <w:sz w:val="21"/>
                <w:szCs w:val="21"/>
              </w:rPr>
            </w:pPr>
            <w:r>
              <w:rPr>
                <w:rFonts w:hint="eastAsia" w:ascii="宋体" w:hAnsi="宋体" w:cs="宋体"/>
                <w:b/>
                <w:bCs/>
                <w:kern w:val="0"/>
                <w:sz w:val="21"/>
                <w:szCs w:val="21"/>
              </w:rPr>
              <w:t>RFID</w:t>
            </w:r>
            <w:r>
              <w:rPr>
                <w:rFonts w:hint="eastAsia" w:ascii="宋体" w:hAnsi="宋体" w:cs="宋体"/>
                <w:b/>
                <w:bCs/>
                <w:kern w:val="0"/>
                <w:sz w:val="21"/>
                <w:szCs w:val="21"/>
                <w:lang w:val="en-US" w:eastAsia="zh-CN"/>
              </w:rPr>
              <w:t>标签</w:t>
            </w:r>
            <w:r>
              <w:rPr>
                <w:rFonts w:hint="eastAsia" w:ascii="宋体" w:hAnsi="宋体" w:cs="宋体"/>
                <w:b/>
                <w:bCs/>
                <w:kern w:val="0"/>
                <w:sz w:val="21"/>
                <w:szCs w:val="21"/>
              </w:rPr>
              <w:t>打印机</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0FEC462B">
            <w:pPr>
              <w:keepNext w:val="0"/>
              <w:keepLines w:val="0"/>
              <w:widowControl/>
              <w:suppressLineNumbers w:val="0"/>
              <w:jc w:val="left"/>
              <w:rPr>
                <w:rFonts w:hint="default" w:ascii="宋体" w:hAnsi="宋体" w:cs="宋体"/>
                <w:b/>
                <w:bCs/>
                <w:sz w:val="21"/>
                <w:szCs w:val="21"/>
                <w:lang w:val="en-US" w:eastAsia="zh-CN"/>
              </w:rPr>
            </w:pPr>
            <w:r>
              <w:rPr>
                <w:rFonts w:hint="eastAsia" w:ascii="宋体" w:hAnsi="宋体" w:eastAsia="宋体" w:cs="宋体"/>
                <w:i w:val="0"/>
                <w:iCs w:val="0"/>
                <w:color w:val="auto"/>
                <w:kern w:val="0"/>
                <w:sz w:val="21"/>
                <w:szCs w:val="21"/>
                <w:u w:val="none"/>
                <w:lang w:val="en-US" w:eastAsia="zh-CN" w:bidi="ar"/>
              </w:rPr>
              <w:t>适配本项目RFID标签打印功能。</w:t>
            </w:r>
            <w:bookmarkStart w:id="0" w:name="_GoBack"/>
            <w:bookmarkEnd w:id="0"/>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9EAC5DD">
            <w:pPr>
              <w:widowControl/>
              <w:jc w:val="center"/>
              <w:textAlignment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216A006">
            <w:pPr>
              <w:widowControl/>
              <w:jc w:val="center"/>
              <w:textAlignment w:val="center"/>
              <w:rPr>
                <w:rFonts w:ascii="宋体" w:hAnsi="宋体" w:cs="宋体"/>
                <w:b/>
                <w:bCs/>
                <w:sz w:val="21"/>
                <w:szCs w:val="21"/>
              </w:rPr>
            </w:pPr>
            <w:r>
              <w:rPr>
                <w:rFonts w:hint="eastAsia" w:ascii="宋体" w:hAnsi="宋体" w:cs="宋体"/>
                <w:b/>
                <w:bCs/>
                <w:kern w:val="0"/>
                <w:sz w:val="21"/>
                <w:szCs w:val="21"/>
              </w:rPr>
              <w:t>台</w:t>
            </w:r>
          </w:p>
        </w:tc>
        <w:tc>
          <w:tcPr>
            <w:tcW w:w="1200" w:type="dxa"/>
            <w:vMerge w:val="continue"/>
            <w:tcBorders>
              <w:left w:val="single" w:color="000000" w:sz="4" w:space="0"/>
              <w:bottom w:val="single" w:color="000000" w:sz="4" w:space="0"/>
              <w:right w:val="single" w:color="000000" w:sz="4" w:space="0"/>
            </w:tcBorders>
            <w:noWrap w:val="0"/>
            <w:vAlign w:val="center"/>
          </w:tcPr>
          <w:p w14:paraId="673C5563">
            <w:pPr>
              <w:widowControl/>
              <w:jc w:val="center"/>
              <w:textAlignment w:val="center"/>
              <w:rPr>
                <w:rFonts w:hint="eastAsia" w:ascii="宋体" w:hAnsi="宋体" w:cs="宋体"/>
                <w:b/>
                <w:bCs/>
                <w:kern w:val="0"/>
                <w:sz w:val="21"/>
                <w:szCs w:val="21"/>
              </w:rPr>
            </w:pPr>
          </w:p>
        </w:tc>
      </w:tr>
    </w:tbl>
    <w:p w14:paraId="0802C2F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b/>
          <w:bCs/>
          <w:i w:val="0"/>
          <w:iCs w:val="0"/>
          <w:caps w:val="0"/>
          <w:color w:val="000000"/>
          <w:spacing w:val="0"/>
          <w:sz w:val="28"/>
          <w:szCs w:val="28"/>
        </w:rPr>
      </w:pPr>
    </w:p>
    <w:p w14:paraId="149BF5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三</w:t>
      </w:r>
      <w:r>
        <w:rPr>
          <w:rFonts w:hint="eastAsia" w:ascii="微软雅黑" w:hAnsi="微软雅黑" w:eastAsia="微软雅黑" w:cs="微软雅黑"/>
          <w:b/>
          <w:bCs/>
          <w:i w:val="0"/>
          <w:iCs w:val="0"/>
          <w:caps w:val="0"/>
          <w:color w:val="000000"/>
          <w:spacing w:val="0"/>
          <w:sz w:val="28"/>
          <w:szCs w:val="28"/>
        </w:rPr>
        <w:t>、报名材料如下：</w:t>
      </w:r>
    </w:p>
    <w:p w14:paraId="70291C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10B6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84987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547623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40C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FA02C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4B1A3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2DE4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DD00C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F7EBC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1A8E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0DDD1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284A9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default"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系统建设方案（信息系统类项目须提供），品牌规格参数（硬件类项目须提供）</w:t>
            </w:r>
          </w:p>
        </w:tc>
      </w:tr>
      <w:tr w14:paraId="27A7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D83F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4A19B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714E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D3277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5</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6CF43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06FA91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-5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1B009B2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26FFF7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4CBA88B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5年3月20日</w:t>
      </w:r>
    </w:p>
    <w:p w14:paraId="6430ED20">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6B2F9F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5710B5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3C572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56C5C6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1B93A6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0953E6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lang w:val="en-US" w:eastAsia="zh-CN"/>
        </w:rPr>
        <w:t>移动盘点管理系统项目</w:t>
      </w:r>
    </w:p>
    <w:p w14:paraId="72978F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152B13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38A709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4B191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B55CD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77EA8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09C79E8">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EC854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43E23E5">
      <w:pPr>
        <w:rPr>
          <w:rFonts w:hint="default" w:ascii="宋体" w:hAnsi="宋体"/>
          <w:color w:val="000000"/>
          <w:szCs w:val="21"/>
          <w:u w:val="single"/>
          <w:lang w:val="en-US" w:eastAsia="zh-CN"/>
        </w:rPr>
      </w:pPr>
    </w:p>
    <w:p w14:paraId="1B4D7DCB">
      <w:pPr>
        <w:jc w:val="center"/>
        <w:rPr>
          <w:rFonts w:hint="eastAsia"/>
          <w:sz w:val="36"/>
          <w:szCs w:val="36"/>
          <w:lang w:val="en-US" w:eastAsia="zh-CN"/>
        </w:rPr>
      </w:pPr>
      <w:r>
        <w:rPr>
          <w:rFonts w:hint="eastAsia"/>
          <w:sz w:val="36"/>
          <w:szCs w:val="36"/>
          <w:u w:val="single"/>
          <w:lang w:val="en-US" w:eastAsia="zh-CN"/>
        </w:rPr>
        <w:t>XXXX项目（供应商填写具体项目名称）报</w:t>
      </w:r>
      <w:r>
        <w:rPr>
          <w:rFonts w:hint="eastAsia"/>
          <w:sz w:val="36"/>
          <w:szCs w:val="36"/>
          <w:lang w:val="en-US" w:eastAsia="zh-CN"/>
        </w:rPr>
        <w:t>价单</w:t>
      </w:r>
    </w:p>
    <w:p w14:paraId="0DE5FB89">
      <w:pPr>
        <w:jc w:val="center"/>
        <w:rPr>
          <w:rFonts w:hint="eastAsia"/>
          <w:sz w:val="36"/>
          <w:szCs w:val="36"/>
          <w:lang w:val="en-US" w:eastAsia="zh-CN"/>
        </w:rPr>
      </w:pPr>
    </w:p>
    <w:tbl>
      <w:tblPr>
        <w:tblStyle w:val="8"/>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3713"/>
        <w:gridCol w:w="1050"/>
        <w:gridCol w:w="980"/>
        <w:gridCol w:w="1030"/>
        <w:gridCol w:w="1090"/>
      </w:tblGrid>
      <w:tr w14:paraId="7CD2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7F942F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759DC6D7">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3713" w:type="dxa"/>
            <w:noWrap w:val="0"/>
            <w:vAlign w:val="top"/>
          </w:tcPr>
          <w:p w14:paraId="26D1AA1C">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1050" w:type="dxa"/>
            <w:noWrap w:val="0"/>
            <w:vAlign w:val="top"/>
          </w:tcPr>
          <w:p w14:paraId="5CC2AF76">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980" w:type="dxa"/>
            <w:noWrap w:val="0"/>
            <w:vAlign w:val="top"/>
          </w:tcPr>
          <w:p w14:paraId="56C418C7">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030" w:type="dxa"/>
            <w:noWrap w:val="0"/>
            <w:vAlign w:val="top"/>
          </w:tcPr>
          <w:p w14:paraId="2A328CEC">
            <w:pPr>
              <w:jc w:val="center"/>
              <w:rPr>
                <w:rFonts w:hint="eastAsia"/>
                <w:sz w:val="24"/>
                <w:szCs w:val="24"/>
                <w:vertAlign w:val="baseline"/>
                <w:lang w:val="en-US" w:eastAsia="zh-CN"/>
              </w:rPr>
            </w:pPr>
            <w:r>
              <w:rPr>
                <w:rFonts w:hint="eastAsia"/>
                <w:sz w:val="24"/>
                <w:szCs w:val="24"/>
                <w:vertAlign w:val="baseline"/>
                <w:lang w:val="en-US" w:eastAsia="zh-CN"/>
              </w:rPr>
              <w:t>交货期</w:t>
            </w:r>
          </w:p>
        </w:tc>
        <w:tc>
          <w:tcPr>
            <w:tcW w:w="1090" w:type="dxa"/>
            <w:noWrap w:val="0"/>
            <w:vAlign w:val="top"/>
          </w:tcPr>
          <w:p w14:paraId="5DFFAA77">
            <w:pPr>
              <w:jc w:val="center"/>
              <w:rPr>
                <w:rFonts w:hint="default"/>
                <w:sz w:val="24"/>
                <w:szCs w:val="24"/>
                <w:vertAlign w:val="baseline"/>
                <w:lang w:val="en-US" w:eastAsia="zh-CN"/>
              </w:rPr>
            </w:pPr>
            <w:r>
              <w:rPr>
                <w:rFonts w:hint="eastAsia"/>
                <w:sz w:val="24"/>
                <w:szCs w:val="24"/>
                <w:vertAlign w:val="baseline"/>
                <w:lang w:val="en-US" w:eastAsia="zh-CN"/>
              </w:rPr>
              <w:t>质保期</w:t>
            </w:r>
          </w:p>
        </w:tc>
      </w:tr>
      <w:tr w14:paraId="73B9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6AB05DA1">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4EFDEC36">
            <w:pPr>
              <w:spacing w:line="360" w:lineRule="auto"/>
              <w:jc w:val="left"/>
              <w:rPr>
                <w:rFonts w:hint="default"/>
                <w:sz w:val="21"/>
                <w:szCs w:val="21"/>
                <w:vertAlign w:val="baseline"/>
                <w:lang w:val="en-US" w:eastAsia="zh-CN"/>
              </w:rPr>
            </w:pPr>
          </w:p>
        </w:tc>
        <w:tc>
          <w:tcPr>
            <w:tcW w:w="3713" w:type="dxa"/>
            <w:noWrap w:val="0"/>
            <w:vAlign w:val="top"/>
          </w:tcPr>
          <w:p w14:paraId="511EF97D">
            <w:pPr>
              <w:numPr>
                <w:ilvl w:val="0"/>
                <w:numId w:val="0"/>
              </w:numPr>
              <w:spacing w:line="240" w:lineRule="auto"/>
              <w:ind w:leftChars="0"/>
              <w:jc w:val="both"/>
              <w:rPr>
                <w:rFonts w:hint="default" w:ascii="Arial" w:hAnsi="Arial" w:eastAsia="宋体" w:cs="Arial"/>
                <w:color w:val="000000"/>
                <w:sz w:val="18"/>
                <w:szCs w:val="18"/>
                <w:lang w:val="en-US" w:eastAsia="zh-CN"/>
              </w:rPr>
            </w:pPr>
          </w:p>
        </w:tc>
        <w:tc>
          <w:tcPr>
            <w:tcW w:w="1050" w:type="dxa"/>
            <w:noWrap w:val="0"/>
            <w:vAlign w:val="top"/>
          </w:tcPr>
          <w:p w14:paraId="60EF5B7B">
            <w:pPr>
              <w:jc w:val="center"/>
              <w:rPr>
                <w:rFonts w:hint="default"/>
                <w:sz w:val="22"/>
                <w:szCs w:val="22"/>
                <w:vertAlign w:val="baseline"/>
                <w:lang w:val="en-US" w:eastAsia="zh-CN"/>
              </w:rPr>
            </w:pPr>
          </w:p>
        </w:tc>
        <w:tc>
          <w:tcPr>
            <w:tcW w:w="980" w:type="dxa"/>
            <w:noWrap w:val="0"/>
            <w:vAlign w:val="top"/>
          </w:tcPr>
          <w:p w14:paraId="3E9741E4">
            <w:pPr>
              <w:jc w:val="left"/>
              <w:rPr>
                <w:rFonts w:hint="default"/>
                <w:sz w:val="22"/>
                <w:szCs w:val="22"/>
                <w:vertAlign w:val="baseline"/>
                <w:lang w:val="en-US" w:eastAsia="zh-CN"/>
              </w:rPr>
            </w:pPr>
          </w:p>
        </w:tc>
        <w:tc>
          <w:tcPr>
            <w:tcW w:w="1030" w:type="dxa"/>
            <w:noWrap w:val="0"/>
            <w:vAlign w:val="top"/>
          </w:tcPr>
          <w:p w14:paraId="71DDBC5A">
            <w:pPr>
              <w:spacing w:line="360" w:lineRule="auto"/>
              <w:jc w:val="both"/>
              <w:rPr>
                <w:rFonts w:hint="eastAsia"/>
                <w:sz w:val="20"/>
                <w:szCs w:val="20"/>
                <w:vertAlign w:val="baseline"/>
                <w:lang w:val="en-US" w:eastAsia="zh-CN"/>
              </w:rPr>
            </w:pPr>
          </w:p>
          <w:p w14:paraId="2AFC2B67">
            <w:pPr>
              <w:spacing w:line="360" w:lineRule="auto"/>
              <w:jc w:val="both"/>
              <w:rPr>
                <w:rFonts w:hint="default"/>
                <w:sz w:val="22"/>
                <w:szCs w:val="22"/>
                <w:vertAlign w:val="baseline"/>
                <w:lang w:val="en-US" w:eastAsia="zh-CN"/>
              </w:rPr>
            </w:pPr>
          </w:p>
        </w:tc>
        <w:tc>
          <w:tcPr>
            <w:tcW w:w="1090" w:type="dxa"/>
            <w:noWrap w:val="0"/>
            <w:vAlign w:val="top"/>
          </w:tcPr>
          <w:p w14:paraId="7455FAB5">
            <w:pPr>
              <w:spacing w:line="360" w:lineRule="auto"/>
              <w:jc w:val="both"/>
              <w:rPr>
                <w:rFonts w:hint="default"/>
                <w:sz w:val="22"/>
                <w:szCs w:val="22"/>
                <w:vertAlign w:val="baseline"/>
                <w:lang w:val="en-US" w:eastAsia="zh-CN"/>
              </w:rPr>
            </w:pPr>
          </w:p>
        </w:tc>
      </w:tr>
      <w:tr w14:paraId="4569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6BDB5030">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6"/>
            <w:noWrap w:val="0"/>
            <w:vAlign w:val="center"/>
          </w:tcPr>
          <w:p w14:paraId="03CA1A49">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06F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7"/>
            <w:noWrap w:val="0"/>
            <w:vAlign w:val="top"/>
          </w:tcPr>
          <w:p w14:paraId="0F866BD6">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2025年x月xx日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699D8E62">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6A8A1B90">
      <w:pPr>
        <w:jc w:val="left"/>
        <w:rPr>
          <w:rFonts w:hint="eastAsia"/>
          <w:sz w:val="36"/>
          <w:szCs w:val="36"/>
          <w:lang w:val="en-US" w:eastAsia="zh-CN"/>
        </w:rPr>
      </w:pPr>
    </w:p>
    <w:p w14:paraId="44635183">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89F2296">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20A58191">
      <w:pPr>
        <w:rPr>
          <w:rFonts w:hint="eastAsia"/>
          <w:sz w:val="28"/>
          <w:szCs w:val="28"/>
          <w:u w:val="single"/>
          <w:lang w:val="en-US" w:eastAsia="zh-CN"/>
        </w:rPr>
      </w:pPr>
      <w:r>
        <w:rPr>
          <w:rFonts w:hint="eastAsia"/>
          <w:sz w:val="28"/>
          <w:szCs w:val="28"/>
          <w:u w:val="single"/>
          <w:lang w:val="en-US" w:eastAsia="zh-CN"/>
        </w:rPr>
        <w:br w:type="page"/>
      </w:r>
    </w:p>
    <w:p w14:paraId="22F08872">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53B7882C">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087BAC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3F948B31">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5128815A">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8FB9FDF">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2F4E58E1">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88F7DEF">
      <w:pPr>
        <w:numPr>
          <w:ilvl w:val="0"/>
          <w:numId w:val="3"/>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449F5BB3">
      <w:pPr>
        <w:pStyle w:val="3"/>
        <w:numPr>
          <w:ilvl w:val="0"/>
          <w:numId w:val="3"/>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5E87733D">
      <w:pPr>
        <w:pStyle w:val="3"/>
        <w:numPr>
          <w:ilvl w:val="0"/>
          <w:numId w:val="3"/>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BB3DD9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034D394A">
      <w:pPr>
        <w:snapToGrid w:val="0"/>
        <w:spacing w:line="288" w:lineRule="auto"/>
        <w:ind w:firstLine="565" w:firstLineChars="202"/>
        <w:rPr>
          <w:rFonts w:hint="eastAsia" w:ascii="仿宋_GB2312" w:hAnsi="仿宋_GB2312" w:eastAsia="仿宋_GB2312" w:cs="仿宋_GB2312"/>
          <w:sz w:val="28"/>
          <w:szCs w:val="28"/>
        </w:rPr>
      </w:pPr>
    </w:p>
    <w:p w14:paraId="39E6AE1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EF1018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19FA9881">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7C4B0BE6">
      <w:pPr>
        <w:snapToGrid w:val="0"/>
        <w:spacing w:line="288" w:lineRule="auto"/>
        <w:ind w:firstLine="565" w:firstLineChars="202"/>
        <w:rPr>
          <w:rFonts w:hint="eastAsia" w:ascii="仿宋_GB2312" w:hAnsi="仿宋_GB2312" w:eastAsia="仿宋_GB2312" w:cs="仿宋_GB2312"/>
          <w:sz w:val="28"/>
          <w:szCs w:val="28"/>
        </w:rPr>
      </w:pPr>
    </w:p>
    <w:p w14:paraId="08C40A2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36B16D1B">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5B42BA7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2346060F">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1BF8E2E7"/>
    <w:multiLevelType w:val="singleLevel"/>
    <w:tmpl w:val="1BF8E2E7"/>
    <w:lvl w:ilvl="0" w:tentative="0">
      <w:start w:val="2"/>
      <w:numFmt w:val="chineseCounting"/>
      <w:suff w:val="nothing"/>
      <w:lvlText w:val="%1、"/>
      <w:lvlJc w:val="left"/>
      <w:rPr>
        <w:rFonts w:hint="eastAsia"/>
      </w:rPr>
    </w:lvl>
  </w:abstractNum>
  <w:abstractNum w:abstractNumId="2">
    <w:nsid w:val="5DE85FA5"/>
    <w:multiLevelType w:val="singleLevel"/>
    <w:tmpl w:val="5DE85FA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17B5611"/>
    <w:rsid w:val="02964B6A"/>
    <w:rsid w:val="03F84410"/>
    <w:rsid w:val="049577B1"/>
    <w:rsid w:val="04E52B6B"/>
    <w:rsid w:val="06BE3C9E"/>
    <w:rsid w:val="07894D5B"/>
    <w:rsid w:val="07F615C4"/>
    <w:rsid w:val="0A6A629A"/>
    <w:rsid w:val="0A756C03"/>
    <w:rsid w:val="0B10358F"/>
    <w:rsid w:val="0C0575B4"/>
    <w:rsid w:val="0C6D5CD5"/>
    <w:rsid w:val="0CA41586"/>
    <w:rsid w:val="0CB61638"/>
    <w:rsid w:val="0CF87B8D"/>
    <w:rsid w:val="0DD759F4"/>
    <w:rsid w:val="0E1962DF"/>
    <w:rsid w:val="0F3C3218"/>
    <w:rsid w:val="0FA25A57"/>
    <w:rsid w:val="10C10B94"/>
    <w:rsid w:val="119965E5"/>
    <w:rsid w:val="128D5890"/>
    <w:rsid w:val="133720EF"/>
    <w:rsid w:val="138F0A28"/>
    <w:rsid w:val="13DB54EC"/>
    <w:rsid w:val="140D6BDF"/>
    <w:rsid w:val="15667887"/>
    <w:rsid w:val="17165B6B"/>
    <w:rsid w:val="192F4E41"/>
    <w:rsid w:val="19B36B9A"/>
    <w:rsid w:val="19D57177"/>
    <w:rsid w:val="1B4F5630"/>
    <w:rsid w:val="1C505D3B"/>
    <w:rsid w:val="1D311E2D"/>
    <w:rsid w:val="1EA536FE"/>
    <w:rsid w:val="1F8C171B"/>
    <w:rsid w:val="1FB57B5F"/>
    <w:rsid w:val="1FD20711"/>
    <w:rsid w:val="22A25BED"/>
    <w:rsid w:val="250E1BA3"/>
    <w:rsid w:val="2A5302BF"/>
    <w:rsid w:val="2A844D69"/>
    <w:rsid w:val="2CDD3BE5"/>
    <w:rsid w:val="2DDA0DBC"/>
    <w:rsid w:val="2E903C71"/>
    <w:rsid w:val="309A078C"/>
    <w:rsid w:val="32160058"/>
    <w:rsid w:val="32664E75"/>
    <w:rsid w:val="32BB5035"/>
    <w:rsid w:val="384F4255"/>
    <w:rsid w:val="38790383"/>
    <w:rsid w:val="393375C3"/>
    <w:rsid w:val="3B75129C"/>
    <w:rsid w:val="3C5A3EF9"/>
    <w:rsid w:val="3CC86CCC"/>
    <w:rsid w:val="3CE40F86"/>
    <w:rsid w:val="3D8428A3"/>
    <w:rsid w:val="3E154EC6"/>
    <w:rsid w:val="3EA763FA"/>
    <w:rsid w:val="41D61FAA"/>
    <w:rsid w:val="42002F78"/>
    <w:rsid w:val="424B76FC"/>
    <w:rsid w:val="44E0677A"/>
    <w:rsid w:val="457A4EE2"/>
    <w:rsid w:val="465348A0"/>
    <w:rsid w:val="478101A3"/>
    <w:rsid w:val="483A5A39"/>
    <w:rsid w:val="49B40A87"/>
    <w:rsid w:val="4F214574"/>
    <w:rsid w:val="51CF1BE5"/>
    <w:rsid w:val="5256703D"/>
    <w:rsid w:val="5469293C"/>
    <w:rsid w:val="556F060F"/>
    <w:rsid w:val="558D745B"/>
    <w:rsid w:val="59253085"/>
    <w:rsid w:val="59524C35"/>
    <w:rsid w:val="5ACB1419"/>
    <w:rsid w:val="5B525C87"/>
    <w:rsid w:val="5C653DB3"/>
    <w:rsid w:val="5CB73378"/>
    <w:rsid w:val="5DBA15CB"/>
    <w:rsid w:val="5E4D190F"/>
    <w:rsid w:val="5FBF2C92"/>
    <w:rsid w:val="626837AB"/>
    <w:rsid w:val="63AB4186"/>
    <w:rsid w:val="64964644"/>
    <w:rsid w:val="66D820B1"/>
    <w:rsid w:val="67386679"/>
    <w:rsid w:val="68273E3B"/>
    <w:rsid w:val="69983B9D"/>
    <w:rsid w:val="6E2D78C6"/>
    <w:rsid w:val="6F4421BF"/>
    <w:rsid w:val="6F750B93"/>
    <w:rsid w:val="70FE5EA4"/>
    <w:rsid w:val="729B7EB6"/>
    <w:rsid w:val="73701A81"/>
    <w:rsid w:val="741C2B3C"/>
    <w:rsid w:val="7495322A"/>
    <w:rsid w:val="74A41217"/>
    <w:rsid w:val="77703A06"/>
    <w:rsid w:val="798B111E"/>
    <w:rsid w:val="7A923E9A"/>
    <w:rsid w:val="7BCC6F38"/>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List Paragraph"/>
    <w:basedOn w:val="1"/>
    <w:next w:val="1"/>
    <w:qFormat/>
    <w:uiPriority w:val="0"/>
    <w:pPr>
      <w:ind w:firstLine="420" w:firstLineChars="200"/>
    </w:pPr>
  </w:style>
  <w:style w:type="paragraph" w:styleId="3">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rPr>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2624</Words>
  <Characters>2934</Characters>
  <Lines>0</Lines>
  <Paragraphs>0</Paragraphs>
  <TotalTime>6</TotalTime>
  <ScaleCrop>false</ScaleCrop>
  <LinksUpToDate>false</LinksUpToDate>
  <CharactersWithSpaces>3350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wuhq</cp:lastModifiedBy>
  <cp:lastPrinted>2025-02-19T09:19:00Z</cp:lastPrinted>
  <dcterms:modified xsi:type="dcterms:W3CDTF">2025-03-18T01:59:58Z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FAE72EE5496C48E1A6D76B66F51158D1_13</vt:lpwstr>
  </property>
  <property fmtid="{D5CDD505-2E9C-101B-9397-08002B2CF9AE}" pid="4" name="KSOTemplateDocerSaveRecord">
    <vt:lpwstr>eyJoZGlkIjoiMjQzMjNjMmYwMDljY2Y3Y2FhMTk2MzA1ODI2OWM5NjQiLCJ1c2VySWQiOiIyNTkyNjE1MTAifQ==</vt:lpwstr>
  </property>
</Properties>
</file>