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B70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10865C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2</w:t>
      </w:r>
      <w:r>
        <w:rPr>
          <w:rFonts w:hint="eastAsia" w:ascii="微软雅黑" w:hAnsi="微软雅黑" w:eastAsia="微软雅黑" w:cs="微软雅黑"/>
          <w:b/>
          <w:bCs/>
          <w:i w:val="0"/>
          <w:iCs w:val="0"/>
          <w:caps w:val="0"/>
          <w:color w:val="000000"/>
          <w:spacing w:val="0"/>
          <w:sz w:val="36"/>
          <w:szCs w:val="36"/>
          <w:lang w:val="en-US" w:eastAsia="zh-CN"/>
        </w:rPr>
        <w:t>024年合理用药系统维保服务</w:t>
      </w:r>
      <w:r>
        <w:rPr>
          <w:rFonts w:hint="eastAsia" w:ascii="微软雅黑" w:hAnsi="微软雅黑" w:eastAsia="微软雅黑" w:cs="微软雅黑"/>
          <w:b/>
          <w:bCs/>
          <w:i w:val="0"/>
          <w:iCs w:val="0"/>
          <w:caps w:val="0"/>
          <w:color w:val="000000"/>
          <w:spacing w:val="0"/>
          <w:sz w:val="36"/>
          <w:szCs w:val="36"/>
        </w:rPr>
        <w:t>询价采购公告</w:t>
      </w:r>
    </w:p>
    <w:p w14:paraId="330C0E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71F95436">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为满足临床使用需求，我院</w:t>
      </w:r>
      <w:r>
        <w:rPr>
          <w:rFonts w:hint="eastAsia" w:ascii="微软雅黑" w:hAnsi="微软雅黑" w:eastAsia="微软雅黑" w:cs="微软雅黑"/>
          <w:i w:val="0"/>
          <w:iCs w:val="0"/>
          <w:caps w:val="0"/>
          <w:color w:val="000000"/>
          <w:spacing w:val="0"/>
          <w:sz w:val="21"/>
          <w:szCs w:val="21"/>
          <w:lang w:val="en-US" w:eastAsia="zh-CN"/>
        </w:rPr>
        <w:t>近期将询价采购合理用药系统维保服务</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请具备相应资质的企业参加报名。</w:t>
      </w:r>
    </w:p>
    <w:p w14:paraId="5013FE12">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并于202</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12</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06</w:t>
      </w:r>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6818C997">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席工     </w:t>
      </w:r>
      <w:r>
        <w:rPr>
          <w:rFonts w:hint="eastAsia" w:ascii="微软雅黑" w:hAnsi="微软雅黑" w:eastAsia="微软雅黑" w:cs="微软雅黑"/>
          <w:i w:val="0"/>
          <w:iCs w:val="0"/>
          <w:caps w:val="0"/>
          <w:color w:val="000000"/>
          <w:spacing w:val="0"/>
          <w:sz w:val="21"/>
          <w:szCs w:val="21"/>
        </w:rPr>
        <w:t>联系电话：0592-2662084</w:t>
      </w:r>
    </w:p>
    <w:p w14:paraId="02B81E3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265C4F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5218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8BB93E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DAD4A9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5954F4C">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D3B061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4561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8D2AF6D">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5118466">
            <w:pPr>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vertAlign w:val="baseline"/>
                <w:lang w:val="en-US" w:eastAsia="zh-CN"/>
              </w:rPr>
              <w:t>合理用药系统维保</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B601B81">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日常运维，根据</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方的功能需求做好</w:t>
            </w:r>
            <w:r>
              <w:rPr>
                <w:rFonts w:hint="eastAsia" w:ascii="微软雅黑" w:hAnsi="微软雅黑" w:eastAsia="微软雅黑" w:cs="微软雅黑"/>
                <w:sz w:val="18"/>
                <w:szCs w:val="21"/>
                <w:lang w:val="en-US" w:eastAsia="zh-CN"/>
              </w:rPr>
              <w:t>合理用药</w:t>
            </w:r>
            <w:r>
              <w:rPr>
                <w:rFonts w:hint="eastAsia" w:ascii="微软雅黑" w:hAnsi="微软雅黑" w:eastAsia="微软雅黑" w:cs="微软雅黑"/>
                <w:sz w:val="18"/>
                <w:szCs w:val="21"/>
              </w:rPr>
              <w:t>系统的完善和维护工作</w:t>
            </w:r>
            <w:r>
              <w:rPr>
                <w:rFonts w:hint="eastAsia" w:ascii="微软雅黑" w:hAnsi="微软雅黑" w:eastAsia="微软雅黑" w:cs="微软雅黑"/>
                <w:sz w:val="18"/>
                <w:szCs w:val="21"/>
                <w:lang w:eastAsia="zh-CN"/>
              </w:rPr>
              <w:t>，</w:t>
            </w:r>
            <w:r>
              <w:rPr>
                <w:rFonts w:hint="eastAsia" w:ascii="微软雅黑" w:hAnsi="微软雅黑" w:eastAsia="微软雅黑" w:cs="微软雅黑"/>
                <w:sz w:val="18"/>
                <w:szCs w:val="21"/>
                <w:lang w:val="en-US" w:eastAsia="zh-CN"/>
              </w:rPr>
              <w:t>以及药品知识库更新。</w:t>
            </w:r>
          </w:p>
          <w:p w14:paraId="4B99986A">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lang w:val="en-US" w:eastAsia="zh-CN"/>
              </w:rPr>
              <w:t>配合采购方做好数据库维护升级工作</w:t>
            </w:r>
            <w:r>
              <w:rPr>
                <w:rFonts w:hint="eastAsia" w:ascii="微软雅黑" w:hAnsi="微软雅黑" w:eastAsia="微软雅黑" w:cs="微软雅黑"/>
                <w:sz w:val="18"/>
                <w:szCs w:val="21"/>
              </w:rPr>
              <w:t>。</w:t>
            </w:r>
          </w:p>
          <w:p w14:paraId="074B9B9A">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有限满足甲方流程变更（如有重大变更另签协议）。</w:t>
            </w:r>
          </w:p>
          <w:p w14:paraId="49E7E254">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对</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方提出的不涉及系统架构变动的系统需求给予完善。</w:t>
            </w:r>
          </w:p>
          <w:p w14:paraId="54C6D586">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提供7*24小时的服务，软件运行及维护期内对于系统在使用过程中出现的问题要求：1小时内维护响应。对于需要派技术工程师到现场解决的故障，技术人员必须在</w:t>
            </w:r>
            <w:r>
              <w:rPr>
                <w:rFonts w:hint="eastAsia" w:ascii="微软雅黑" w:hAnsi="微软雅黑" w:eastAsia="微软雅黑" w:cs="微软雅黑"/>
                <w:sz w:val="18"/>
                <w:szCs w:val="21"/>
                <w:lang w:val="en-US" w:eastAsia="zh-CN"/>
              </w:rPr>
              <w:t>2</w:t>
            </w:r>
            <w:r>
              <w:rPr>
                <w:rFonts w:hint="eastAsia" w:ascii="微软雅黑" w:hAnsi="微软雅黑" w:eastAsia="微软雅黑" w:cs="微软雅黑"/>
                <w:sz w:val="18"/>
                <w:szCs w:val="21"/>
              </w:rPr>
              <w:t>小时内到达现场维护响应，4小时内修复。特殊情况在4小时内无法修复的需提供详细的应急解决方案。如节假日发生影响</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方正常医疗服务的故障，则在</w:t>
            </w:r>
            <w:r>
              <w:rPr>
                <w:rFonts w:hint="eastAsia" w:ascii="微软雅黑" w:hAnsi="微软雅黑" w:eastAsia="微软雅黑" w:cs="微软雅黑"/>
                <w:sz w:val="18"/>
                <w:szCs w:val="21"/>
                <w:lang w:val="en-US" w:eastAsia="zh-CN"/>
              </w:rPr>
              <w:t>12</w:t>
            </w:r>
            <w:r>
              <w:rPr>
                <w:rFonts w:hint="eastAsia" w:ascii="微软雅黑" w:hAnsi="微软雅黑" w:eastAsia="微软雅黑" w:cs="微软雅黑"/>
                <w:sz w:val="18"/>
                <w:szCs w:val="21"/>
              </w:rPr>
              <w:t>小时内有技术人员到达现场维护。</w:t>
            </w:r>
          </w:p>
          <w:p w14:paraId="0A442500">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21"/>
              </w:rPr>
              <w:t>定期巡检：每季度一</w:t>
            </w:r>
            <w:r>
              <w:rPr>
                <w:rFonts w:hint="eastAsia" w:ascii="微软雅黑" w:hAnsi="微软雅黑" w:eastAsia="微软雅黑" w:cs="微软雅黑"/>
                <w:sz w:val="18"/>
                <w:szCs w:val="21"/>
                <w:lang w:val="en-US" w:eastAsia="zh-CN"/>
              </w:rPr>
              <w:t>次</w:t>
            </w:r>
            <w:r>
              <w:rPr>
                <w:rFonts w:hint="eastAsia" w:ascii="微软雅黑" w:hAnsi="微软雅黑" w:eastAsia="微软雅黑" w:cs="微软雅黑"/>
                <w:sz w:val="18"/>
                <w:szCs w:val="21"/>
              </w:rPr>
              <w:t>现场巡检并提交甲方签字确认的巡检报告。</w:t>
            </w:r>
          </w:p>
          <w:p w14:paraId="2ED53F39">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21"/>
                <w:lang w:val="en-US" w:eastAsia="zh-CN"/>
              </w:rPr>
              <w:t>维保服务期：2025年01月20日起至2026年01月19日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0D4421">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r>
    </w:tbl>
    <w:p w14:paraId="2A4E77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三、 项目要求：</w:t>
      </w:r>
    </w:p>
    <w:p w14:paraId="194CC3FF">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方式：</w:t>
      </w:r>
      <w:r>
        <w:rPr>
          <w:rFonts w:hint="eastAsia" w:ascii="微软雅黑" w:hAnsi="微软雅黑" w:eastAsia="微软雅黑" w:cs="微软雅黑"/>
          <w:i w:val="0"/>
          <w:iCs w:val="0"/>
          <w:caps w:val="0"/>
          <w:color w:val="000000"/>
          <w:spacing w:val="0"/>
          <w:sz w:val="21"/>
          <w:szCs w:val="21"/>
          <w:lang w:val="en-US" w:eastAsia="zh-CN"/>
        </w:rPr>
        <w:t>按上述业务描述的要求进行合理用药系统维保。</w:t>
      </w:r>
    </w:p>
    <w:p w14:paraId="61971ECE">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采购方式：询价采购</w:t>
      </w:r>
    </w:p>
    <w:p w14:paraId="31F63BCE">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招标控制价：人民币45000元</w:t>
      </w:r>
    </w:p>
    <w:p w14:paraId="3D972F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p>
    <w:p w14:paraId="5D9E92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四</w:t>
      </w:r>
      <w:r>
        <w:rPr>
          <w:rFonts w:hint="eastAsia" w:ascii="微软雅黑" w:hAnsi="微软雅黑" w:eastAsia="微软雅黑" w:cs="微软雅黑"/>
          <w:b/>
          <w:bCs/>
          <w:i w:val="0"/>
          <w:iCs w:val="0"/>
          <w:caps w:val="0"/>
          <w:color w:val="000000"/>
          <w:spacing w:val="0"/>
          <w:sz w:val="28"/>
          <w:szCs w:val="28"/>
        </w:rPr>
        <w:t>、报名材料如下：</w:t>
      </w:r>
    </w:p>
    <w:p w14:paraId="30EF40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3B540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BB8DF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0A23C2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337F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6B5AC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6201A7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768A9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7D667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F72B3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2B49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DA4C6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30183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671D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EC4CF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5EF2B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7ED7051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律法规严肃处理。以上资料一式两份每页必须加盖公章。</w:t>
      </w:r>
    </w:p>
    <w:p w14:paraId="13B1DE8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735564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7841AC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4年11月28</w:t>
      </w:r>
      <w:bookmarkStart w:id="0" w:name="_GoBack"/>
      <w:bookmarkEnd w:id="0"/>
      <w:r>
        <w:rPr>
          <w:rFonts w:hint="eastAsia" w:ascii="微软雅黑" w:hAnsi="微软雅黑" w:eastAsia="微软雅黑" w:cs="微软雅黑"/>
          <w:i w:val="0"/>
          <w:iCs w:val="0"/>
          <w:caps w:val="0"/>
          <w:color w:val="000000"/>
          <w:spacing w:val="0"/>
          <w:sz w:val="21"/>
          <w:szCs w:val="21"/>
          <w:highlight w:val="none"/>
          <w:lang w:val="en-US" w:eastAsia="zh-CN"/>
        </w:rPr>
        <w:t>日</w:t>
      </w:r>
    </w:p>
    <w:p w14:paraId="1D135D92">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63EB09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0D52B1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109981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628458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67F5CC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3E2BC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合理用药系统维保</w:t>
      </w:r>
    </w:p>
    <w:p w14:paraId="01ABEC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79ED63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6B2B63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00A7B9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407C21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42B4D3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69F991D">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43E6FE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26E61BA3">
      <w:pPr>
        <w:rPr>
          <w:rFonts w:hint="default" w:ascii="宋体" w:hAnsi="宋体"/>
          <w:color w:val="000000"/>
          <w:szCs w:val="21"/>
          <w:u w:val="single"/>
          <w:lang w:val="en-US" w:eastAsia="zh-CN"/>
        </w:rPr>
      </w:pPr>
    </w:p>
    <w:p w14:paraId="3CF5F564">
      <w:pPr>
        <w:jc w:val="center"/>
        <w:rPr>
          <w:rFonts w:hint="eastAsia"/>
          <w:sz w:val="36"/>
          <w:szCs w:val="36"/>
          <w:lang w:val="en-US" w:eastAsia="zh-CN"/>
        </w:rPr>
      </w:pPr>
      <w:r>
        <w:rPr>
          <w:rFonts w:hint="eastAsia"/>
          <w:sz w:val="36"/>
          <w:szCs w:val="36"/>
          <w:u w:val="single"/>
          <w:lang w:val="en-US" w:eastAsia="zh-CN"/>
        </w:rPr>
        <w:t>合理用药系统维保服务</w:t>
      </w:r>
      <w:r>
        <w:rPr>
          <w:rFonts w:hint="eastAsia"/>
          <w:sz w:val="36"/>
          <w:szCs w:val="36"/>
          <w:lang w:val="en-US" w:eastAsia="zh-CN"/>
        </w:rPr>
        <w:t>报价单</w:t>
      </w:r>
    </w:p>
    <w:p w14:paraId="56BF5E16">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3E68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6319ACC9">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3F1AE19F">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45621EDF">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562AC322">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0FB56E3D">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0B77778E">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33B9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78FBAC30">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1B0C7A80">
            <w:pPr>
              <w:spacing w:line="360" w:lineRule="auto"/>
              <w:jc w:val="left"/>
              <w:rPr>
                <w:rFonts w:hint="default"/>
                <w:sz w:val="22"/>
                <w:szCs w:val="22"/>
                <w:vertAlign w:val="baseline"/>
                <w:lang w:val="en-US" w:eastAsia="zh-CN"/>
              </w:rPr>
            </w:pPr>
            <w:r>
              <w:rPr>
                <w:rFonts w:hint="eastAsia"/>
                <w:sz w:val="21"/>
                <w:szCs w:val="21"/>
                <w:vertAlign w:val="baseline"/>
                <w:lang w:val="en-US" w:eastAsia="zh-CN"/>
              </w:rPr>
              <w:t>合理用药系统维保</w:t>
            </w:r>
          </w:p>
        </w:tc>
        <w:tc>
          <w:tcPr>
            <w:tcW w:w="4650" w:type="dxa"/>
            <w:noWrap w:val="0"/>
            <w:vAlign w:val="top"/>
          </w:tcPr>
          <w:p w14:paraId="26A3660A">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日常运维，根据</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方的功能需求做好</w:t>
            </w:r>
            <w:r>
              <w:rPr>
                <w:rFonts w:hint="eastAsia" w:ascii="微软雅黑" w:hAnsi="微软雅黑" w:eastAsia="微软雅黑" w:cs="微软雅黑"/>
                <w:sz w:val="18"/>
                <w:szCs w:val="21"/>
                <w:lang w:val="en-US" w:eastAsia="zh-CN"/>
              </w:rPr>
              <w:t>合理用药</w:t>
            </w:r>
            <w:r>
              <w:rPr>
                <w:rFonts w:hint="eastAsia" w:ascii="微软雅黑" w:hAnsi="微软雅黑" w:eastAsia="微软雅黑" w:cs="微软雅黑"/>
                <w:sz w:val="18"/>
                <w:szCs w:val="21"/>
              </w:rPr>
              <w:t>系统的完善和维护工作</w:t>
            </w:r>
            <w:r>
              <w:rPr>
                <w:rFonts w:hint="eastAsia" w:ascii="微软雅黑" w:hAnsi="微软雅黑" w:eastAsia="微软雅黑" w:cs="微软雅黑"/>
                <w:sz w:val="18"/>
                <w:szCs w:val="21"/>
                <w:lang w:eastAsia="zh-CN"/>
              </w:rPr>
              <w:t>，</w:t>
            </w:r>
            <w:r>
              <w:rPr>
                <w:rFonts w:hint="eastAsia" w:ascii="微软雅黑" w:hAnsi="微软雅黑" w:eastAsia="微软雅黑" w:cs="微软雅黑"/>
                <w:sz w:val="18"/>
                <w:szCs w:val="21"/>
                <w:lang w:val="en-US" w:eastAsia="zh-CN"/>
              </w:rPr>
              <w:t>以及药品知识库更新。</w:t>
            </w:r>
          </w:p>
          <w:p w14:paraId="52F5A79F">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lang w:val="en-US" w:eastAsia="zh-CN"/>
              </w:rPr>
              <w:t>配合采购方做好数据库维护升级工作</w:t>
            </w:r>
            <w:r>
              <w:rPr>
                <w:rFonts w:hint="eastAsia" w:ascii="微软雅黑" w:hAnsi="微软雅黑" w:eastAsia="微软雅黑" w:cs="微软雅黑"/>
                <w:sz w:val="18"/>
                <w:szCs w:val="21"/>
              </w:rPr>
              <w:t>。</w:t>
            </w:r>
          </w:p>
          <w:p w14:paraId="498712E6">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有限满足甲方流程变更（如有重大变更另签协议）。</w:t>
            </w:r>
          </w:p>
          <w:p w14:paraId="0483AC67">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对</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方提出的不涉及系统架构变动的系统需求给予完善。</w:t>
            </w:r>
          </w:p>
          <w:p w14:paraId="567ACD1B">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提供7*24小时的服务，软件运行及维护期内对于系统在使用过程中出现的问题要求：1小时内维护响应。对于需要派技术工程师到现场解决的故障，技术人员必须在</w:t>
            </w:r>
            <w:r>
              <w:rPr>
                <w:rFonts w:hint="eastAsia" w:ascii="微软雅黑" w:hAnsi="微软雅黑" w:eastAsia="微软雅黑" w:cs="微软雅黑"/>
                <w:sz w:val="18"/>
                <w:szCs w:val="21"/>
                <w:lang w:val="en-US" w:eastAsia="zh-CN"/>
              </w:rPr>
              <w:t>2</w:t>
            </w:r>
            <w:r>
              <w:rPr>
                <w:rFonts w:hint="eastAsia" w:ascii="微软雅黑" w:hAnsi="微软雅黑" w:eastAsia="微软雅黑" w:cs="微软雅黑"/>
                <w:sz w:val="18"/>
                <w:szCs w:val="21"/>
              </w:rPr>
              <w:t>小时内到达现场维护响应，4小时内修复。特殊情况在4小时内无法修复的需提供详细的应急解决方案。如节假日发生影响</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方正常医疗服务的故障，则在</w:t>
            </w:r>
            <w:r>
              <w:rPr>
                <w:rFonts w:hint="eastAsia" w:ascii="微软雅黑" w:hAnsi="微软雅黑" w:eastAsia="微软雅黑" w:cs="微软雅黑"/>
                <w:sz w:val="18"/>
                <w:szCs w:val="21"/>
                <w:lang w:val="en-US" w:eastAsia="zh-CN"/>
              </w:rPr>
              <w:t>12</w:t>
            </w:r>
            <w:r>
              <w:rPr>
                <w:rFonts w:hint="eastAsia" w:ascii="微软雅黑" w:hAnsi="微软雅黑" w:eastAsia="微软雅黑" w:cs="微软雅黑"/>
                <w:sz w:val="18"/>
                <w:szCs w:val="21"/>
              </w:rPr>
              <w:t>小时内有技术人员到达现场维护。</w:t>
            </w:r>
          </w:p>
          <w:p w14:paraId="1246BCDF">
            <w:pPr>
              <w:numPr>
                <w:ilvl w:val="0"/>
                <w:numId w:val="4"/>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21"/>
              </w:rPr>
              <w:t>定期巡检：每季度一</w:t>
            </w:r>
            <w:r>
              <w:rPr>
                <w:rFonts w:hint="eastAsia" w:ascii="微软雅黑" w:hAnsi="微软雅黑" w:eastAsia="微软雅黑" w:cs="微软雅黑"/>
                <w:sz w:val="18"/>
                <w:szCs w:val="21"/>
                <w:lang w:val="en-US" w:eastAsia="zh-CN"/>
              </w:rPr>
              <w:t>次</w:t>
            </w:r>
            <w:r>
              <w:rPr>
                <w:rFonts w:hint="eastAsia" w:ascii="微软雅黑" w:hAnsi="微软雅黑" w:eastAsia="微软雅黑" w:cs="微软雅黑"/>
                <w:sz w:val="18"/>
                <w:szCs w:val="21"/>
              </w:rPr>
              <w:t>现场巡检并提交甲方签字确认的巡检报告。</w:t>
            </w:r>
          </w:p>
          <w:p w14:paraId="75DC971D">
            <w:pPr>
              <w:numPr>
                <w:ilvl w:val="0"/>
                <w:numId w:val="5"/>
              </w:numPr>
              <w:spacing w:line="240" w:lineRule="auto"/>
              <w:ind w:left="0" w:leftChars="0" w:firstLine="0" w:firstLineChars="0"/>
              <w:jc w:val="both"/>
              <w:rPr>
                <w:rFonts w:hint="default" w:ascii="Arial" w:hAnsi="Arial" w:eastAsia="宋体" w:cs="Arial"/>
                <w:color w:val="000000"/>
                <w:sz w:val="18"/>
                <w:szCs w:val="18"/>
                <w:lang w:val="en-US" w:eastAsia="zh-CN"/>
              </w:rPr>
            </w:pPr>
            <w:r>
              <w:rPr>
                <w:rFonts w:hint="eastAsia" w:ascii="微软雅黑" w:hAnsi="微软雅黑" w:eastAsia="微软雅黑" w:cs="微软雅黑"/>
                <w:sz w:val="18"/>
                <w:szCs w:val="21"/>
                <w:lang w:val="en-US" w:eastAsia="zh-CN"/>
              </w:rPr>
              <w:t>维保服务期：2025年01月20日起至2026年01月19日</w:t>
            </w:r>
          </w:p>
        </w:tc>
        <w:tc>
          <w:tcPr>
            <w:tcW w:w="707" w:type="dxa"/>
            <w:noWrap w:val="0"/>
            <w:vAlign w:val="top"/>
          </w:tcPr>
          <w:p w14:paraId="12A5CF2B">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7F678C85">
            <w:pPr>
              <w:jc w:val="left"/>
              <w:rPr>
                <w:rFonts w:hint="default"/>
                <w:sz w:val="22"/>
                <w:szCs w:val="22"/>
                <w:vertAlign w:val="baseline"/>
                <w:lang w:val="en-US" w:eastAsia="zh-CN"/>
              </w:rPr>
            </w:pPr>
          </w:p>
        </w:tc>
        <w:tc>
          <w:tcPr>
            <w:tcW w:w="1351" w:type="dxa"/>
            <w:noWrap w:val="0"/>
            <w:vAlign w:val="top"/>
          </w:tcPr>
          <w:p w14:paraId="2314F309">
            <w:pPr>
              <w:spacing w:line="360" w:lineRule="auto"/>
              <w:jc w:val="both"/>
              <w:rPr>
                <w:rFonts w:hint="eastAsia"/>
                <w:sz w:val="20"/>
                <w:szCs w:val="20"/>
                <w:vertAlign w:val="baseline"/>
                <w:lang w:val="en-US" w:eastAsia="zh-CN"/>
              </w:rPr>
            </w:pPr>
          </w:p>
          <w:p w14:paraId="41760DDD">
            <w:pPr>
              <w:spacing w:line="360" w:lineRule="auto"/>
              <w:jc w:val="both"/>
              <w:rPr>
                <w:rFonts w:hint="default"/>
                <w:sz w:val="22"/>
                <w:szCs w:val="22"/>
                <w:vertAlign w:val="baseline"/>
                <w:lang w:val="en-US" w:eastAsia="zh-CN"/>
              </w:rPr>
            </w:pPr>
          </w:p>
        </w:tc>
      </w:tr>
      <w:tr w14:paraId="7F29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1C20D71C">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27FA38FA">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0703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18978EA7">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2024年x月xx日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3DE98825">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22534DCC">
      <w:pPr>
        <w:jc w:val="left"/>
        <w:rPr>
          <w:rFonts w:hint="eastAsia"/>
          <w:sz w:val="36"/>
          <w:szCs w:val="36"/>
          <w:lang w:val="en-US" w:eastAsia="zh-CN"/>
        </w:rPr>
      </w:pPr>
    </w:p>
    <w:p w14:paraId="7EBD0C43">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D9CDC26">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2297FF8C">
      <w:pPr>
        <w:rPr>
          <w:rFonts w:hint="eastAsia"/>
          <w:sz w:val="28"/>
          <w:szCs w:val="28"/>
          <w:u w:val="single"/>
          <w:lang w:val="en-US" w:eastAsia="zh-CN"/>
        </w:rPr>
      </w:pPr>
      <w:r>
        <w:rPr>
          <w:rFonts w:hint="eastAsia"/>
          <w:sz w:val="28"/>
          <w:szCs w:val="28"/>
          <w:u w:val="single"/>
          <w:lang w:val="en-US" w:eastAsia="zh-CN"/>
        </w:rPr>
        <w:br w:type="page"/>
      </w:r>
    </w:p>
    <w:p w14:paraId="5A9F61A1">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48855535">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7280A0E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41D7F324">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3CD39877">
      <w:pPr>
        <w:numPr>
          <w:ilvl w:val="0"/>
          <w:numId w:val="6"/>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7C5095E3">
      <w:pPr>
        <w:numPr>
          <w:ilvl w:val="0"/>
          <w:numId w:val="6"/>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41D8339E">
      <w:pPr>
        <w:numPr>
          <w:ilvl w:val="0"/>
          <w:numId w:val="6"/>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56161247">
      <w:pPr>
        <w:numPr>
          <w:ilvl w:val="0"/>
          <w:numId w:val="6"/>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3891D8D1">
      <w:pPr>
        <w:pStyle w:val="2"/>
        <w:numPr>
          <w:ilvl w:val="0"/>
          <w:numId w:val="6"/>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63612CA2">
      <w:pPr>
        <w:pStyle w:val="2"/>
        <w:numPr>
          <w:ilvl w:val="0"/>
          <w:numId w:val="6"/>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4A8E52C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601DA16D">
      <w:pPr>
        <w:snapToGrid w:val="0"/>
        <w:spacing w:line="288" w:lineRule="auto"/>
        <w:ind w:firstLine="565" w:firstLineChars="202"/>
        <w:rPr>
          <w:rFonts w:hint="eastAsia" w:ascii="仿宋_GB2312" w:hAnsi="仿宋_GB2312" w:eastAsia="仿宋_GB2312" w:cs="仿宋_GB2312"/>
          <w:sz w:val="28"/>
          <w:szCs w:val="28"/>
        </w:rPr>
      </w:pPr>
    </w:p>
    <w:p w14:paraId="25CB0CED">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0DBBB3C5">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00AF4E24">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2FB326FF">
      <w:pPr>
        <w:snapToGrid w:val="0"/>
        <w:spacing w:line="288" w:lineRule="auto"/>
        <w:ind w:firstLine="565" w:firstLineChars="202"/>
        <w:rPr>
          <w:rFonts w:hint="eastAsia" w:ascii="仿宋_GB2312" w:hAnsi="仿宋_GB2312" w:eastAsia="仿宋_GB2312" w:cs="仿宋_GB2312"/>
          <w:sz w:val="28"/>
          <w:szCs w:val="28"/>
        </w:rPr>
      </w:pPr>
    </w:p>
    <w:p w14:paraId="3EAB0F6E">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2B6A3E6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781E83F1">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4AB1B06D">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5A1992A"/>
    <w:multiLevelType w:val="singleLevel"/>
    <w:tmpl w:val="C5A1992A"/>
    <w:lvl w:ilvl="0" w:tentative="0">
      <w:start w:val="1"/>
      <w:numFmt w:val="decimal"/>
      <w:lvlText w:val="(%1)"/>
      <w:lvlJc w:val="left"/>
      <w:pPr>
        <w:ind w:left="425" w:hanging="425"/>
      </w:pPr>
      <w:rPr>
        <w:rFonts w:hint="default"/>
      </w:rPr>
    </w:lvl>
  </w:abstractNum>
  <w:abstractNum w:abstractNumId="2">
    <w:nsid w:val="FC13FF98"/>
    <w:multiLevelType w:val="singleLevel"/>
    <w:tmpl w:val="FC13FF98"/>
    <w:lvl w:ilvl="0" w:tentative="0">
      <w:start w:val="1"/>
      <w:numFmt w:val="decimalEnclosedCircleChinese"/>
      <w:suff w:val="nothing"/>
      <w:lvlText w:val="%1　"/>
      <w:lvlJc w:val="left"/>
      <w:pPr>
        <w:ind w:left="0" w:firstLine="400"/>
      </w:pPr>
      <w:rPr>
        <w:rFonts w:hint="eastAsia"/>
      </w:rPr>
    </w:lvl>
  </w:abstractNum>
  <w:abstractNum w:abstractNumId="3">
    <w:nsid w:val="0D9BE910"/>
    <w:multiLevelType w:val="singleLevel"/>
    <w:tmpl w:val="0D9BE910"/>
    <w:lvl w:ilvl="0" w:tentative="0">
      <w:start w:val="1"/>
      <w:numFmt w:val="decimalEnclosedCircleChinese"/>
      <w:suff w:val="nothing"/>
      <w:lvlText w:val="%1　"/>
      <w:lvlJc w:val="left"/>
      <w:pPr>
        <w:ind w:left="0" w:firstLine="400"/>
      </w:pPr>
      <w:rPr>
        <w:rFonts w:hint="eastAsia"/>
      </w:rPr>
    </w:lvl>
  </w:abstractNum>
  <w:abstractNum w:abstractNumId="4">
    <w:nsid w:val="3D2C3354"/>
    <w:multiLevelType w:val="singleLevel"/>
    <w:tmpl w:val="3D2C3354"/>
    <w:lvl w:ilvl="0" w:tentative="0">
      <w:start w:val="1"/>
      <w:numFmt w:val="decimalEnclosedCircleChinese"/>
      <w:suff w:val="nothing"/>
      <w:lvlText w:val="%1　"/>
      <w:lvlJc w:val="left"/>
      <w:pPr>
        <w:ind w:left="0" w:firstLine="400"/>
      </w:pPr>
      <w:rPr>
        <w:rFonts w:hint="eastAsia"/>
      </w:rPr>
    </w:lvl>
  </w:abstractNum>
  <w:abstractNum w:abstractNumId="5">
    <w:nsid w:val="5DE85FA5"/>
    <w:multiLevelType w:val="singleLevel"/>
    <w:tmpl w:val="5DE85FA5"/>
    <w:lvl w:ilvl="0" w:tentative="0">
      <w:start w:val="1"/>
      <w:numFmt w:val="decimal"/>
      <w:lvlText w:val="(%1)"/>
      <w:lvlJc w:val="left"/>
      <w:pPr>
        <w:ind w:left="425" w:hanging="425"/>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k2YzdiNjUzMWE1MWZjYjM1NjBjYmFlNjFlMjkifQ=="/>
  </w:docVars>
  <w:rsids>
    <w:rsidRoot w:val="00000000"/>
    <w:rsid w:val="002F216D"/>
    <w:rsid w:val="00E019EA"/>
    <w:rsid w:val="04E52B6B"/>
    <w:rsid w:val="07F615C4"/>
    <w:rsid w:val="09AA76C4"/>
    <w:rsid w:val="0A6A629A"/>
    <w:rsid w:val="0B10358F"/>
    <w:rsid w:val="0C0575B4"/>
    <w:rsid w:val="0C6D5CD5"/>
    <w:rsid w:val="0CF87B8D"/>
    <w:rsid w:val="0E1962DF"/>
    <w:rsid w:val="0F3C3218"/>
    <w:rsid w:val="10C10B94"/>
    <w:rsid w:val="119965E5"/>
    <w:rsid w:val="133720EF"/>
    <w:rsid w:val="138F0A28"/>
    <w:rsid w:val="13DB54EC"/>
    <w:rsid w:val="192F4E41"/>
    <w:rsid w:val="19B36B9A"/>
    <w:rsid w:val="19D57177"/>
    <w:rsid w:val="1C505D3B"/>
    <w:rsid w:val="1F8C171B"/>
    <w:rsid w:val="1FB57B5F"/>
    <w:rsid w:val="1FD20711"/>
    <w:rsid w:val="2ADA080A"/>
    <w:rsid w:val="2E903C71"/>
    <w:rsid w:val="32664E75"/>
    <w:rsid w:val="384F4255"/>
    <w:rsid w:val="38790383"/>
    <w:rsid w:val="397D1296"/>
    <w:rsid w:val="3B75129C"/>
    <w:rsid w:val="3C3C6475"/>
    <w:rsid w:val="3C5A3EF9"/>
    <w:rsid w:val="3CE40F86"/>
    <w:rsid w:val="3EA763FA"/>
    <w:rsid w:val="404D2BD1"/>
    <w:rsid w:val="424B76FC"/>
    <w:rsid w:val="44E0677A"/>
    <w:rsid w:val="457A4EE2"/>
    <w:rsid w:val="478101A3"/>
    <w:rsid w:val="483A5A39"/>
    <w:rsid w:val="4F214574"/>
    <w:rsid w:val="51CF1BE5"/>
    <w:rsid w:val="556F060F"/>
    <w:rsid w:val="558D745B"/>
    <w:rsid w:val="59524C35"/>
    <w:rsid w:val="5ACB1419"/>
    <w:rsid w:val="5B525C87"/>
    <w:rsid w:val="5C653DB3"/>
    <w:rsid w:val="5DBA15CB"/>
    <w:rsid w:val="5E4D190F"/>
    <w:rsid w:val="5FBF2C92"/>
    <w:rsid w:val="62774D1E"/>
    <w:rsid w:val="63AB4186"/>
    <w:rsid w:val="65875D94"/>
    <w:rsid w:val="66D820B1"/>
    <w:rsid w:val="67386679"/>
    <w:rsid w:val="68273E3B"/>
    <w:rsid w:val="69983B9D"/>
    <w:rsid w:val="6B814EB1"/>
    <w:rsid w:val="6F4421BF"/>
    <w:rsid w:val="70FE5EA4"/>
    <w:rsid w:val="73701A81"/>
    <w:rsid w:val="7495322A"/>
    <w:rsid w:val="74A41217"/>
    <w:rsid w:val="77703A06"/>
    <w:rsid w:val="7A923E9A"/>
    <w:rsid w:val="7BCC6F38"/>
    <w:rsid w:val="7D5B424D"/>
    <w:rsid w:val="7DD054D0"/>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1876</Words>
  <Characters>1999</Characters>
  <Lines>0</Lines>
  <Paragraphs>0</Paragraphs>
  <TotalTime>0</TotalTime>
  <ScaleCrop>false</ScaleCrop>
  <LinksUpToDate>false</LinksUpToDate>
  <CharactersWithSpaces>2342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2024-11-26T09:53:37Z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5FBA40B14B544E869F9DF68FE8B0E3F4_13</vt:lpwstr>
  </property>
</Properties>
</file>